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val="0"/>
          <w:bCs/>
          <w:spacing w:val="28"/>
          <w:sz w:val="52"/>
          <w:szCs w:val="48"/>
        </w:rPr>
      </w:pPr>
    </w:p>
    <w:p>
      <w:pPr>
        <w:adjustRightInd w:val="0"/>
        <w:snapToGrid w:val="0"/>
        <w:spacing w:line="360" w:lineRule="auto"/>
        <w:jc w:val="center"/>
        <w:rPr>
          <w:rFonts w:hint="eastAsia" w:ascii="方正黑体_GBK" w:hAnsi="方正黑体_GBK" w:eastAsia="方正黑体_GBK" w:cs="方正黑体_GBK"/>
          <w:b w:val="0"/>
          <w:bCs/>
          <w:spacing w:val="28"/>
          <w:sz w:val="56"/>
          <w:szCs w:val="52"/>
          <w:lang w:val="en-US" w:eastAsia="zh-CN"/>
        </w:rPr>
      </w:pPr>
      <w:r>
        <w:rPr>
          <w:rFonts w:hint="eastAsia" w:ascii="方正黑体_GBK" w:hAnsi="方正黑体_GBK" w:eastAsia="方正黑体_GBK" w:cs="方正黑体_GBK"/>
          <w:b w:val="0"/>
          <w:bCs/>
          <w:spacing w:val="28"/>
          <w:sz w:val="56"/>
          <w:szCs w:val="52"/>
          <w:lang w:val="en-US" w:eastAsia="zh-CN"/>
        </w:rPr>
        <w:t>文昌百汇建筑外墙亮化工程</w:t>
      </w:r>
    </w:p>
    <w:p>
      <w:pPr>
        <w:adjustRightInd w:val="0"/>
        <w:snapToGrid w:val="0"/>
        <w:spacing w:line="360" w:lineRule="auto"/>
        <w:jc w:val="center"/>
        <w:rPr>
          <w:rFonts w:ascii="仿宋_GB2312" w:hAnsi="宋体" w:eastAsia="仿宋_GB2312"/>
          <w:b w:val="0"/>
          <w:bCs/>
          <w:spacing w:val="28"/>
          <w:sz w:val="72"/>
          <w:szCs w:val="56"/>
        </w:rPr>
      </w:pPr>
      <w:r>
        <w:rPr>
          <w:rFonts w:hint="eastAsia" w:ascii="方正黑体_GBK" w:hAnsi="方正黑体_GBK" w:eastAsia="方正黑体_GBK" w:cs="方正黑体_GBK"/>
          <w:b w:val="0"/>
          <w:bCs/>
          <w:spacing w:val="28"/>
          <w:sz w:val="56"/>
          <w:szCs w:val="52"/>
        </w:rPr>
        <w:t>材料采购</w:t>
      </w:r>
    </w:p>
    <w:p>
      <w:pPr>
        <w:adjustRightInd w:val="0"/>
        <w:snapToGrid w:val="0"/>
        <w:spacing w:line="360" w:lineRule="auto"/>
        <w:ind w:firstLine="3468" w:firstLineChars="600"/>
        <w:jc w:val="center"/>
        <w:rPr>
          <w:rFonts w:ascii="仿宋_GB2312" w:hAnsi="宋体" w:eastAsia="仿宋_GB2312"/>
          <w:b/>
          <w:spacing w:val="28"/>
          <w:sz w:val="52"/>
          <w:szCs w:val="48"/>
        </w:rPr>
      </w:pPr>
    </w:p>
    <w:p/>
    <w:p>
      <w:pPr>
        <w:pStyle w:val="2"/>
        <w:ind w:left="1260"/>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1</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月</w:t>
      </w:r>
    </w:p>
    <w:p>
      <w:pPr>
        <w:pStyle w:val="2"/>
        <w:ind w:left="0" w:leftChars="0"/>
        <w:jc w:val="center"/>
      </w:pPr>
    </w:p>
    <w:p>
      <w:pPr>
        <w:spacing w:line="360" w:lineRule="auto"/>
        <w:jc w:val="center"/>
        <w:outlineLvl w:val="0"/>
        <w:rPr>
          <w:rFonts w:ascii="宋体" w:hAnsi="宋体"/>
          <w:b/>
          <w:sz w:val="36"/>
          <w:szCs w:val="36"/>
        </w:rPr>
      </w:pPr>
    </w:p>
    <w:p>
      <w:pPr>
        <w:spacing w:line="360" w:lineRule="auto"/>
        <w:outlineLvl w:val="0"/>
        <w:rPr>
          <w:rFonts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lang w:eastAsia="zh-CN"/>
              </w:rPr>
            </w:pPr>
            <w:r>
              <w:rPr>
                <w:rFonts w:hint="eastAsia"/>
                <w:lang w:eastAsia="zh-CN"/>
              </w:rPr>
              <w:t>文昌百汇建筑外墙亮化工程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lang w:eastAsia="zh-CN"/>
              </w:rPr>
              <w:t>固定单价</w:t>
            </w:r>
            <w:r>
              <w:rPr>
                <w:rFonts w:hint="eastAsia" w:ascii="宋体" w:hAnsi="宋体"/>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 xml:space="preserve">年 </w:t>
            </w:r>
            <w:r>
              <w:rPr>
                <w:rFonts w:hint="eastAsia" w:ascii="宋体" w:hAnsi="宋体"/>
                <w:szCs w:val="21"/>
                <w:lang w:val="en-US" w:eastAsia="zh-CN"/>
              </w:rPr>
              <w:t>1</w:t>
            </w:r>
            <w:r>
              <w:rPr>
                <w:rFonts w:hint="eastAsia" w:ascii="宋体" w:hAnsi="宋体"/>
                <w:szCs w:val="21"/>
              </w:rPr>
              <w:t xml:space="preserve">月 </w:t>
            </w:r>
            <w:r>
              <w:rPr>
                <w:rFonts w:hint="eastAsia" w:ascii="宋体" w:hAnsi="宋体"/>
                <w:szCs w:val="21"/>
                <w:lang w:val="en-US" w:eastAsia="zh-CN"/>
              </w:rPr>
              <w:t xml:space="preserve">  </w:t>
            </w:r>
            <w:r>
              <w:rPr>
                <w:rFonts w:hint="eastAsia" w:ascii="宋体" w:hAnsi="宋体"/>
                <w:szCs w:val="21"/>
              </w:rPr>
              <w:t xml:space="preserve">日下午 </w:t>
            </w:r>
            <w:r>
              <w:rPr>
                <w:rFonts w:hint="eastAsia" w:ascii="宋体" w:hAnsi="宋体"/>
                <w:szCs w:val="21"/>
                <w:lang w:val="en-US" w:eastAsia="zh-CN"/>
              </w:rPr>
              <w:t>4</w:t>
            </w:r>
            <w:r>
              <w:rPr>
                <w:rFonts w:hint="eastAsia" w:ascii="宋体" w:hAnsi="宋体"/>
                <w:szCs w:val="21"/>
              </w:rPr>
              <w:t xml:space="preserve">:00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szCs w:val="21"/>
          <w:lang w:eastAsia="zh-CN"/>
        </w:rPr>
        <w:t>文昌百汇建筑外墙亮化工程</w:t>
      </w:r>
      <w:r>
        <w:rPr>
          <w:rFonts w:hint="eastAsia" w:ascii="宋体" w:hAnsi="宋体"/>
          <w:szCs w:val="21"/>
        </w:rPr>
        <w:t>需采购材料一批</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630" w:firstLineChars="300"/>
      </w:pPr>
      <w:r>
        <w:rPr>
          <w:rFonts w:hint="eastAsia"/>
        </w:rPr>
        <w:t>4.3本项目不允许联合体投标</w:t>
      </w:r>
    </w:p>
    <w:p>
      <w:pPr>
        <w:pStyle w:val="2"/>
        <w:ind w:left="0" w:leftChars="0"/>
      </w:pPr>
    </w:p>
    <w:p>
      <w:pPr>
        <w:pStyle w:val="2"/>
        <w:ind w:left="0" w:leftChars="0"/>
      </w:pP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0"/>
        </w:numPr>
        <w:autoSpaceDE w:val="0"/>
        <w:autoSpaceDN w:val="0"/>
        <w:adjustRightInd w:val="0"/>
        <w:snapToGrid w:val="0"/>
        <w:spacing w:line="480" w:lineRule="exact"/>
        <w:ind w:firstLine="632" w:firstLineChars="300"/>
        <w:jc w:val="left"/>
        <w:rPr>
          <w:rFonts w:ascii="宋体" w:hAnsi="宋体"/>
          <w:b/>
          <w:szCs w:val="21"/>
        </w:rPr>
      </w:pPr>
      <w:r>
        <w:rPr>
          <w:rFonts w:hint="eastAsia" w:ascii="宋体" w:hAnsi="宋体"/>
          <w:b/>
          <w:szCs w:val="21"/>
          <w:lang w:val="en-US" w:eastAsia="zh-CN"/>
        </w:rPr>
        <w:t>1、</w:t>
      </w:r>
      <w:r>
        <w:rPr>
          <w:rFonts w:hint="eastAsia" w:ascii="宋体" w:hAnsi="宋体"/>
          <w:b/>
          <w:szCs w:val="21"/>
        </w:rPr>
        <w:t>符合国家相关质量标准。</w:t>
      </w:r>
    </w:p>
    <w:p>
      <w:pPr>
        <w:pStyle w:val="2"/>
        <w:ind w:left="417" w:leftChars="0" w:firstLine="843" w:firstLineChars="400"/>
        <w:rPr>
          <w:rFonts w:ascii="宋体" w:hAnsi="宋体"/>
          <w:b/>
          <w:szCs w:val="21"/>
        </w:rPr>
      </w:pPr>
    </w:p>
    <w:p>
      <w:pPr>
        <w:pStyle w:val="2"/>
        <w:ind w:left="0" w:leftChars="0" w:firstLine="632" w:firstLineChars="300"/>
        <w:rPr>
          <w:rFonts w:ascii="宋体" w:hAnsi="宋体"/>
          <w:b/>
          <w:szCs w:val="21"/>
        </w:rPr>
      </w:pPr>
      <w:r>
        <w:rPr>
          <w:rFonts w:hint="eastAsia" w:ascii="宋体" w:hAnsi="宋体"/>
          <w:b/>
          <w:szCs w:val="21"/>
        </w:rPr>
        <w:t>2、工程名称：</w:t>
      </w:r>
      <w:r>
        <w:rPr>
          <w:rFonts w:hint="eastAsia" w:ascii="宋体" w:hAnsi="宋体"/>
          <w:b/>
          <w:szCs w:val="21"/>
          <w:lang w:eastAsia="zh-CN"/>
        </w:rPr>
        <w:t>文昌百汇建筑外墙亮化</w:t>
      </w:r>
      <w:r>
        <w:rPr>
          <w:rFonts w:hint="eastAsia" w:ascii="宋体" w:hAnsi="宋体"/>
          <w:b/>
          <w:szCs w:val="21"/>
        </w:rPr>
        <w:t>工程（</w:t>
      </w:r>
      <w:r>
        <w:rPr>
          <w:rFonts w:hint="eastAsia" w:ascii="宋体" w:hAnsi="宋体"/>
          <w:b/>
          <w:szCs w:val="21"/>
          <w:lang w:eastAsia="zh-CN"/>
        </w:rPr>
        <w:t>含</w:t>
      </w:r>
      <w:r>
        <w:rPr>
          <w:rFonts w:hint="eastAsia" w:ascii="宋体" w:hAnsi="宋体"/>
          <w:b/>
          <w:szCs w:val="21"/>
        </w:rPr>
        <w:t>税</w:t>
      </w:r>
      <w:r>
        <w:rPr>
          <w:rFonts w:hint="eastAsia" w:ascii="宋体" w:hAnsi="宋体"/>
          <w:b/>
          <w:szCs w:val="21"/>
          <w:lang w:val="en-US" w:eastAsia="zh-CN"/>
        </w:rPr>
        <w:t>13%</w:t>
      </w:r>
      <w:r>
        <w:rPr>
          <w:rFonts w:hint="eastAsia" w:ascii="宋体" w:hAnsi="宋体"/>
          <w:b/>
          <w:szCs w:val="21"/>
        </w:rPr>
        <w:t>）</w:t>
      </w:r>
    </w:p>
    <w:p/>
    <w:tbl>
      <w:tblPr>
        <w:tblStyle w:val="14"/>
        <w:tblW w:w="9654" w:type="dxa"/>
        <w:tblInd w:w="93" w:type="dxa"/>
        <w:tblLayout w:type="fixed"/>
        <w:tblCellMar>
          <w:top w:w="0" w:type="dxa"/>
          <w:left w:w="108" w:type="dxa"/>
          <w:bottom w:w="0" w:type="dxa"/>
          <w:right w:w="108" w:type="dxa"/>
        </w:tblCellMar>
      </w:tblPr>
      <w:tblGrid>
        <w:gridCol w:w="494"/>
        <w:gridCol w:w="1931"/>
        <w:gridCol w:w="4394"/>
        <w:gridCol w:w="567"/>
        <w:gridCol w:w="1134"/>
        <w:gridCol w:w="1134"/>
      </w:tblGrid>
      <w:tr>
        <w:tblPrEx>
          <w:tblCellMar>
            <w:top w:w="0" w:type="dxa"/>
            <w:left w:w="108" w:type="dxa"/>
            <w:bottom w:w="0" w:type="dxa"/>
            <w:right w:w="108" w:type="dxa"/>
          </w:tblCellMar>
        </w:tblPrEx>
        <w:trPr>
          <w:trHeight w:val="510" w:hRule="atLeast"/>
        </w:trPr>
        <w:tc>
          <w:tcPr>
            <w:tcW w:w="494" w:type="dxa"/>
            <w:tcBorders>
              <w:top w:val="single" w:color="auto" w:sz="4" w:space="0"/>
              <w:left w:val="single" w:color="000000" w:sz="8" w:space="0"/>
              <w:bottom w:val="single" w:color="auto" w:sz="4" w:space="0"/>
              <w:right w:val="single" w:color="000000"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      序号</w:t>
            </w:r>
          </w:p>
        </w:tc>
        <w:tc>
          <w:tcPr>
            <w:tcW w:w="1931" w:type="dxa"/>
            <w:tcBorders>
              <w:top w:val="single" w:color="auto" w:sz="4" w:space="0"/>
              <w:left w:val="nil"/>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材料名称</w:t>
            </w:r>
          </w:p>
        </w:tc>
        <w:tc>
          <w:tcPr>
            <w:tcW w:w="43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规格、型号等要求</w:t>
            </w:r>
          </w:p>
        </w:tc>
        <w:tc>
          <w:tcPr>
            <w:tcW w:w="567" w:type="dxa"/>
            <w:tcBorders>
              <w:top w:val="single" w:color="000000" w:sz="8" w:space="0"/>
              <w:left w:val="single" w:color="auto" w:sz="4" w:space="0"/>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单价（</w:t>
            </w:r>
            <w:r>
              <w:rPr>
                <w:rFonts w:hint="eastAsia" w:ascii="黑体" w:hAnsi="黑体" w:eastAsia="黑体" w:cs="宋体"/>
                <w:color w:val="000000"/>
                <w:kern w:val="0"/>
                <w:szCs w:val="21"/>
                <w:lang w:eastAsia="zh-CN"/>
              </w:rPr>
              <w:t>含</w:t>
            </w:r>
            <w:r>
              <w:rPr>
                <w:rFonts w:hint="eastAsia" w:ascii="黑体" w:hAnsi="黑体" w:eastAsia="黑体" w:cs="宋体"/>
                <w:color w:val="000000"/>
                <w:kern w:val="0"/>
                <w:szCs w:val="21"/>
              </w:rPr>
              <w:t>税</w:t>
            </w:r>
            <w:r>
              <w:rPr>
                <w:rFonts w:hint="eastAsia" w:ascii="黑体" w:hAnsi="黑体" w:eastAsia="黑体" w:cs="宋体"/>
                <w:color w:val="000000"/>
                <w:kern w:val="0"/>
                <w:szCs w:val="21"/>
                <w:lang w:val="en-US" w:eastAsia="zh-CN"/>
              </w:rPr>
              <w:t>13%</w:t>
            </w:r>
            <w:r>
              <w:rPr>
                <w:rFonts w:hint="eastAsia" w:ascii="黑体" w:hAnsi="黑体" w:eastAsia="黑体" w:cs="宋体"/>
                <w:color w:val="000000"/>
                <w:kern w:val="0"/>
                <w:szCs w:val="21"/>
              </w:rPr>
              <w:t>）</w:t>
            </w:r>
          </w:p>
          <w:p>
            <w:pPr>
              <w:pStyle w:val="2"/>
              <w:ind w:left="1260"/>
              <w:jc w:val="center"/>
              <w:rPr>
                <w:rFonts w:ascii="黑体" w:hAnsi="黑体" w:eastAsia="黑体" w:cs="宋体"/>
                <w:color w:val="000000"/>
                <w:kern w:val="0"/>
                <w:szCs w:val="21"/>
              </w:rPr>
            </w:pPr>
            <w:r>
              <w:rPr>
                <w:rFonts w:hint="eastAsia" w:ascii="黑体" w:hAnsi="黑体" w:eastAsia="黑体" w:cs="宋体"/>
                <w:color w:val="000000"/>
                <w:kern w:val="0"/>
                <w:szCs w:val="21"/>
              </w:rPr>
              <w:t>0</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洗墙灯</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24W LED 3000K IP67 24VDC</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1988</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157.2</w:t>
            </w:r>
            <w:r>
              <w:rPr>
                <w:rFonts w:hint="eastAsia" w:ascii="宋体" w:hAnsi="宋体" w:cs="宋体"/>
                <w:i w:val="0"/>
                <w:iCs w:val="0"/>
                <w:color w:val="FF0000"/>
                <w:kern w:val="0"/>
                <w:sz w:val="21"/>
                <w:szCs w:val="21"/>
                <w:u w:val="none"/>
                <w:lang w:val="en-US" w:eastAsia="zh-CN" w:bidi="ar"/>
              </w:rPr>
              <w:t>2</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激光灯</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20W，220V</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41415.9</w:t>
            </w:r>
            <w:r>
              <w:rPr>
                <w:rFonts w:hint="eastAsia" w:ascii="宋体" w:hAnsi="宋体" w:cs="宋体"/>
                <w:i w:val="0"/>
                <w:iCs w:val="0"/>
                <w:color w:val="FF0000"/>
                <w:kern w:val="0"/>
                <w:sz w:val="21"/>
                <w:szCs w:val="21"/>
                <w:u w:val="none"/>
                <w:lang w:val="en-US" w:eastAsia="zh-CN" w:bidi="ar"/>
              </w:rPr>
              <w:t>4</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激光灯</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 w:val="21"/>
                <w:szCs w:val="21"/>
                <w:lang w:val="en-US" w:eastAsia="zh-CN" w:bidi="ar-SA"/>
              </w:rPr>
              <w:t>40W，220V</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FF0000"/>
                <w:kern w:val="0"/>
                <w:sz w:val="21"/>
                <w:szCs w:val="21"/>
                <w:u w:val="none"/>
                <w:lang w:val="en-US" w:eastAsia="zh-CN" w:bidi="ar"/>
              </w:rPr>
              <w:t>86467.45</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烟雾灯</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3000W，220V</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FF0000"/>
                <w:kern w:val="0"/>
                <w:sz w:val="21"/>
                <w:szCs w:val="21"/>
                <w:u w:val="none"/>
                <w:lang w:val="en-US" w:eastAsia="zh-CN" w:bidi="ar"/>
              </w:rPr>
              <w:t>2299.24</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洗墙灯</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12W LED 3000K IP67 24VDC</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177</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FF0000"/>
                <w:kern w:val="0"/>
                <w:sz w:val="21"/>
                <w:szCs w:val="21"/>
                <w:u w:val="none"/>
                <w:lang w:val="en-US" w:eastAsia="zh-CN" w:bidi="ar"/>
              </w:rPr>
              <w:t>88.43</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洗墙灯</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8W LED 3000K IP67 24VDC</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FF0000"/>
                <w:kern w:val="0"/>
                <w:sz w:val="21"/>
                <w:szCs w:val="21"/>
                <w:u w:val="none"/>
                <w:lang w:val="en-US" w:eastAsia="zh-CN" w:bidi="ar"/>
              </w:rPr>
              <w:t>68.78</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楼梯灯</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12W LED 3000K IP67 24VDC</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152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FF0000"/>
                <w:kern w:val="0"/>
                <w:sz w:val="21"/>
                <w:szCs w:val="21"/>
                <w:u w:val="none"/>
                <w:lang w:val="en-US" w:eastAsia="zh-CN" w:bidi="ar"/>
              </w:rPr>
              <w:t>137.5</w:t>
            </w:r>
            <w:r>
              <w:rPr>
                <w:rFonts w:hint="eastAsia" w:ascii="宋体" w:hAnsi="宋体" w:cs="宋体"/>
                <w:i w:val="0"/>
                <w:iCs w:val="0"/>
                <w:color w:val="FF0000"/>
                <w:kern w:val="0"/>
                <w:sz w:val="21"/>
                <w:szCs w:val="21"/>
                <w:u w:val="none"/>
                <w:lang w:val="en-US" w:eastAsia="zh-CN" w:bidi="ar"/>
              </w:rPr>
              <w:t>7</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8</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聚氯乙烯护套软电线</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RVV-2*4</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5324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FF0000"/>
                <w:kern w:val="0"/>
                <w:sz w:val="21"/>
                <w:szCs w:val="21"/>
                <w:u w:val="none"/>
                <w:lang w:val="en-US" w:eastAsia="zh-CN" w:bidi="ar"/>
              </w:rPr>
              <w:t>6.87</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电源防雨箱</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300*300*200</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155</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FF0000"/>
                <w:kern w:val="0"/>
                <w:sz w:val="21"/>
                <w:szCs w:val="21"/>
                <w:u w:val="none"/>
                <w:lang w:val="en-US" w:eastAsia="zh-CN" w:bidi="ar"/>
              </w:rPr>
              <w:t>275.12</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铜芯电力电缆</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YJY-3*4</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1636</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10.29</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11</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防水开关电源</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AC220V，DC24V，BK=350W，IP</w:t>
            </w:r>
            <w:r>
              <w:rPr>
                <w:rFonts w:hint="eastAsia" w:ascii="微软雅黑" w:hAnsi="微软雅黑" w:eastAsia="微软雅黑" w:cs="微软雅黑"/>
                <w:color w:val="000000"/>
                <w:kern w:val="0"/>
                <w:sz w:val="21"/>
                <w:szCs w:val="21"/>
                <w:lang w:val="en-US" w:eastAsia="zh-CN" w:bidi="ar-SA"/>
              </w:rPr>
              <w:t>≥</w:t>
            </w:r>
            <w:r>
              <w:rPr>
                <w:rFonts w:hint="eastAsia" w:ascii="宋体" w:hAnsi="宋体" w:cs="宋体"/>
                <w:color w:val="000000"/>
                <w:kern w:val="0"/>
                <w:sz w:val="21"/>
                <w:szCs w:val="21"/>
                <w:lang w:val="en-US" w:eastAsia="zh-CN" w:bidi="ar-SA"/>
              </w:rPr>
              <w:t>54</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155</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245.6</w:t>
            </w:r>
            <w:r>
              <w:rPr>
                <w:rFonts w:hint="eastAsia" w:ascii="宋体" w:hAnsi="宋体" w:cs="宋体"/>
                <w:i w:val="0"/>
                <w:iCs w:val="0"/>
                <w:color w:val="FF0000"/>
                <w:kern w:val="0"/>
                <w:sz w:val="21"/>
                <w:szCs w:val="21"/>
                <w:u w:val="none"/>
                <w:lang w:val="en-US" w:eastAsia="zh-CN" w:bidi="ar"/>
              </w:rPr>
              <w:t>4</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12</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落地式配电箱</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只</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9412.9</w:t>
            </w:r>
            <w:r>
              <w:rPr>
                <w:rFonts w:hint="eastAsia" w:ascii="宋体" w:hAnsi="宋体" w:cs="宋体"/>
                <w:i w:val="0"/>
                <w:iCs w:val="0"/>
                <w:color w:val="FF0000"/>
                <w:kern w:val="0"/>
                <w:sz w:val="21"/>
                <w:szCs w:val="21"/>
                <w:u w:val="none"/>
                <w:lang w:val="en-US" w:eastAsia="zh-CN" w:bidi="ar"/>
              </w:rPr>
              <w:t>0</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13</w:t>
            </w: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激光控制器</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FB4+DMX接口</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10857.5</w:t>
            </w:r>
            <w:r>
              <w:rPr>
                <w:rFonts w:hint="eastAsia" w:ascii="宋体" w:hAnsi="宋体" w:cs="宋体"/>
                <w:i w:val="0"/>
                <w:iCs w:val="0"/>
                <w:color w:val="FF0000"/>
                <w:kern w:val="0"/>
                <w:sz w:val="21"/>
                <w:szCs w:val="21"/>
                <w:u w:val="none"/>
                <w:lang w:val="en-US" w:eastAsia="zh-CN" w:bidi="ar"/>
              </w:rPr>
              <w:t>6</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p>
        </w:tc>
        <w:tc>
          <w:tcPr>
            <w:tcW w:w="193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总价</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1"/>
                <w:szCs w:val="21"/>
                <w:lang w:val="en-US" w:eastAsia="zh-CN" w:bidi="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FF0000"/>
                <w:kern w:val="0"/>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cs="宋体"/>
                <w:i w:val="0"/>
                <w:iCs w:val="0"/>
                <w:color w:val="FF0000"/>
                <w:kern w:val="0"/>
                <w:sz w:val="21"/>
                <w:szCs w:val="21"/>
                <w:u w:val="none"/>
                <w:lang w:val="en-US" w:eastAsia="zh-CN" w:bidi="ar"/>
              </w:rPr>
              <w:t>665270.81</w:t>
            </w:r>
          </w:p>
        </w:tc>
      </w:tr>
    </w:tbl>
    <w:p>
      <w:pPr>
        <w:pStyle w:val="2"/>
        <w:ind w:left="0" w:leftChars="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w:t>
      </w:r>
      <w:r>
        <w:rPr>
          <w:rFonts w:hint="eastAsia" w:ascii="宋体" w:hAnsi="宋体"/>
          <w:szCs w:val="21"/>
          <w:lang w:eastAsia="zh-CN"/>
        </w:rPr>
        <w:t>含</w:t>
      </w:r>
      <w:r>
        <w:rPr>
          <w:rFonts w:hint="eastAsia" w:ascii="宋体" w:hAnsi="宋体"/>
          <w:szCs w:val="21"/>
        </w:rPr>
        <w:t>税</w:t>
      </w:r>
      <w:r>
        <w:rPr>
          <w:rFonts w:hint="eastAsia" w:ascii="宋体" w:hAnsi="宋体"/>
          <w:szCs w:val="21"/>
          <w:lang w:val="en-US" w:eastAsia="zh-CN"/>
        </w:rPr>
        <w:t>13%</w:t>
      </w:r>
      <w:r>
        <w:rPr>
          <w:rFonts w:hint="eastAsia" w:ascii="宋体" w:hAnsi="宋体"/>
          <w:szCs w:val="21"/>
          <w:lang w:eastAsia="zh-CN"/>
        </w:rPr>
        <w:t>分别报价</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hint="eastAsia" w:ascii="宋体" w:hAnsi="宋体"/>
          <w:b/>
          <w:szCs w:val="21"/>
        </w:rPr>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w:t>
      </w:r>
      <w:r>
        <w:rPr>
          <w:rFonts w:hint="eastAsia" w:ascii="宋体" w:hAnsi="宋体" w:cs="宋体"/>
          <w:color w:val="FF0000"/>
          <w:szCs w:val="21"/>
          <w:shd w:val="clear" w:color="auto" w:fill="FFFFFF"/>
        </w:rPr>
        <w:t>、本工程采用</w:t>
      </w:r>
      <w:r>
        <w:rPr>
          <w:rFonts w:hint="eastAsia" w:ascii="宋体" w:hAnsi="宋体" w:cs="宋体"/>
          <w:color w:val="FF0000"/>
          <w:szCs w:val="21"/>
          <w:u w:val="single"/>
          <w:shd w:val="clear" w:color="auto" w:fill="FFFFFF"/>
        </w:rPr>
        <w:t xml:space="preserve"> </w:t>
      </w:r>
      <w:r>
        <w:rPr>
          <w:rFonts w:hint="eastAsia" w:ascii="宋体" w:hAnsi="宋体" w:cs="宋体"/>
          <w:color w:val="FF0000"/>
          <w:szCs w:val="21"/>
          <w:u w:val="single"/>
          <w:shd w:val="clear" w:color="auto" w:fill="FFFFFF"/>
          <w:lang w:eastAsia="zh-CN"/>
        </w:rPr>
        <w:t>固定单价</w:t>
      </w:r>
      <w:r>
        <w:rPr>
          <w:rFonts w:hint="eastAsia" w:ascii="宋体" w:hAnsi="宋体" w:cs="宋体"/>
          <w:color w:val="FF0000"/>
          <w:szCs w:val="21"/>
          <w:u w:val="single"/>
          <w:shd w:val="clear" w:color="auto" w:fill="FFFFFF"/>
          <w:lang w:val="en-US" w:eastAsia="zh-CN"/>
        </w:rPr>
        <w:t>+总价</w:t>
      </w:r>
      <w:r>
        <w:rPr>
          <w:rFonts w:hint="eastAsia" w:ascii="宋体" w:hAnsi="宋体" w:cs="宋体"/>
          <w:color w:val="FF0000"/>
          <w:szCs w:val="21"/>
          <w:u w:val="single"/>
          <w:shd w:val="clear" w:color="auto" w:fill="FFFFFF"/>
        </w:rPr>
        <w:t xml:space="preserve"> </w:t>
      </w:r>
      <w:r>
        <w:rPr>
          <w:rFonts w:hint="eastAsia" w:ascii="宋体" w:hAnsi="宋体" w:cs="宋体"/>
          <w:color w:val="FF0000"/>
          <w:szCs w:val="21"/>
          <w:shd w:val="clear" w:color="auto" w:fill="FFFFFF"/>
        </w:rPr>
        <w:t>报价方式</w:t>
      </w:r>
      <w:r>
        <w:rPr>
          <w:rFonts w:hint="eastAsia" w:ascii="宋体" w:hAnsi="宋体" w:cs="宋体"/>
          <w:color w:val="FF0000"/>
          <w:szCs w:val="21"/>
        </w:rPr>
        <w:t>，包含</w:t>
      </w:r>
      <w:r>
        <w:rPr>
          <w:rFonts w:hint="eastAsia" w:ascii="宋体" w:hAnsi="宋体" w:cs="宋体"/>
          <w:bCs/>
          <w:color w:val="FF0000"/>
          <w:szCs w:val="21"/>
        </w:rPr>
        <w:t>运抵招标人项目现场，验收合格，卸货至招标人指定位置并摊铺到位，含税等一切费用，</w:t>
      </w:r>
      <w:r>
        <w:rPr>
          <w:rFonts w:hint="eastAsia" w:ascii="宋体" w:hAnsi="宋体" w:cs="宋体"/>
          <w:color w:val="FF0000"/>
          <w:szCs w:val="21"/>
        </w:rPr>
        <w:t>最终结算总价根据最终实际采购数量和让利后的单价确定。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①产品名称、数量（按实际结算）、单价（含运保杂费）、供货时间。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pStyle w:val="2"/>
        <w:ind w:left="0" w:leftChars="0" w:firstLine="0" w:firstLineChars="0"/>
      </w:pPr>
    </w:p>
    <w:p/>
    <w:p>
      <w:pPr>
        <w:pStyle w:val="2"/>
      </w:pP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numPr>
          <w:ilvl w:val="0"/>
          <w:numId w:val="3"/>
        </w:numPr>
        <w:spacing w:line="480" w:lineRule="exact"/>
        <w:ind w:left="480" w:leftChars="0" w:firstLine="0" w:firstLineChars="0"/>
        <w:rPr>
          <w:rFonts w:ascii="宋体" w:hAnsi="宋体"/>
          <w:color w:val="000000"/>
          <w:sz w:val="24"/>
        </w:rPr>
      </w:pPr>
      <w:r>
        <w:rPr>
          <w:rFonts w:hint="eastAsia" w:ascii="宋体" w:hAnsi="宋体"/>
          <w:color w:val="000000"/>
          <w:sz w:val="24"/>
        </w:rPr>
        <w:t>我们愿按照招标文件中的条款、要求，提供所需的招标货物及一切相关的服务，</w:t>
      </w:r>
      <w:r>
        <w:rPr>
          <w:rFonts w:hint="eastAsia" w:ascii="宋体" w:hAnsi="宋体"/>
          <w:color w:val="000000"/>
          <w:sz w:val="24"/>
          <w:lang w:eastAsia="zh-CN"/>
        </w:rPr>
        <w:t>具体总</w:t>
      </w:r>
      <w:r>
        <w:rPr>
          <w:rFonts w:hint="eastAsia" w:ascii="宋体" w:hAnsi="宋体"/>
          <w:color w:val="000000"/>
          <w:sz w:val="24"/>
        </w:rPr>
        <w:t>价为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元</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pStyle w:val="2"/>
        <w:ind w:left="0" w:leftChars="0" w:firstLine="0" w:firstLineChars="0"/>
      </w:pPr>
    </w:p>
    <w:p/>
    <w:p>
      <w:pPr>
        <w:pStyle w:val="2"/>
      </w:pPr>
    </w:p>
    <w:p/>
    <w:p>
      <w:pPr>
        <w:pStyle w:val="2"/>
      </w:pPr>
    </w:p>
    <w:p/>
    <w:p>
      <w:pPr>
        <w:pStyle w:val="2"/>
      </w:pPr>
      <w:bookmarkStart w:id="2" w:name="_GoBack"/>
      <w:bookmarkEnd w:id="2"/>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2、此表一式两份，按招标文件要求封装，装入正本袋中。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598" w:leftChars="285"/>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right"/>
        <w:rPr>
          <w:rFonts w:ascii="方正小标宋_GBK" w:hAnsi="宋体" w:eastAsia="方正仿宋_GBK"/>
          <w:b/>
          <w:bCs/>
          <w:color w:val="000000"/>
          <w:sz w:val="36"/>
          <w:szCs w:val="36"/>
          <w:u w:val="single"/>
        </w:rPr>
      </w:pPr>
      <w:r>
        <w:rPr>
          <w:rFonts w:hint="eastAsia" w:ascii="方正仿宋_GBK" w:hAnsi="方正仿宋_GBK" w:eastAsia="方正仿宋_GBK" w:cs="方正仿宋_GBK"/>
          <w:bCs/>
          <w:color w:val="000000"/>
          <w:sz w:val="24"/>
        </w:rPr>
        <w:t>合同编号：</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eastAsia="zh-CN"/>
              </w:rPr>
              <w:t>含税</w:t>
            </w:r>
            <w:r>
              <w:rPr>
                <w:rFonts w:hint="eastAsia" w:ascii="方正仿宋_GBK" w:hAnsi="方正仿宋_GBK" w:eastAsia="方正仿宋_GBK" w:cs="方正仿宋_GBK"/>
                <w:bCs/>
                <w:color w:val="000000"/>
                <w:sz w:val="24"/>
                <w:lang w:val="en-US" w:eastAsia="zh-CN"/>
              </w:rPr>
              <w:t>13%</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(含/不含)运费，采用固定单价时，单价不予调整。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color w:val="0000FF"/>
          <w:sz w:val="24"/>
          <w:highlight w:val="yellow"/>
          <w:u w:val="single"/>
        </w:rPr>
      </w:pPr>
      <w:r>
        <w:rPr>
          <w:rFonts w:hint="eastAsia" w:ascii="方正仿宋_GBK" w:hAnsi="方正仿宋_GBK" w:eastAsia="方正仿宋_GBK" w:cs="方正仿宋_GBK"/>
          <w:sz w:val="24"/>
        </w:rPr>
        <w:t>（2）付款方式：无预付款，工程完工付至</w:t>
      </w:r>
      <w:r>
        <w:rPr>
          <w:rFonts w:hint="eastAsia" w:ascii="方正仿宋_GBK" w:hAnsi="方正仿宋_GBK" w:eastAsia="方正仿宋_GBK" w:cs="方正仿宋_GBK"/>
          <w:sz w:val="24"/>
          <w:lang w:eastAsia="zh-CN"/>
        </w:rPr>
        <w:t>实际供货量的</w:t>
      </w:r>
      <w:r>
        <w:rPr>
          <w:rFonts w:hint="eastAsia" w:ascii="方正仿宋_GBK" w:hAnsi="方正仿宋_GBK" w:eastAsia="方正仿宋_GBK" w:cs="方正仿宋_GBK"/>
          <w:sz w:val="24"/>
        </w:rPr>
        <w:t>50%</w:t>
      </w:r>
      <w:r>
        <w:rPr>
          <w:rFonts w:hint="eastAsia" w:ascii="方正仿宋_GBK" w:hAnsi="方正仿宋_GBK" w:eastAsia="方正仿宋_GBK" w:cs="方正仿宋_GBK"/>
          <w:sz w:val="24"/>
          <w:lang w:eastAsia="zh-CN"/>
        </w:rPr>
        <w:t>（不超过合同价的</w:t>
      </w:r>
      <w:r>
        <w:rPr>
          <w:rFonts w:hint="eastAsia" w:ascii="方正仿宋_GBK" w:hAnsi="方正仿宋_GBK" w:eastAsia="方正仿宋_GBK" w:cs="方正仿宋_GBK"/>
          <w:sz w:val="24"/>
          <w:lang w:val="en-US" w:eastAsia="zh-CN"/>
        </w:rPr>
        <w:t>50%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，竣工验收合格后付至</w:t>
      </w:r>
      <w:r>
        <w:rPr>
          <w:rFonts w:hint="eastAsia" w:ascii="方正仿宋_GBK" w:hAnsi="方正仿宋_GBK" w:eastAsia="方正仿宋_GBK" w:cs="方正仿宋_GBK"/>
          <w:sz w:val="24"/>
          <w:lang w:eastAsia="zh-CN"/>
        </w:rPr>
        <w:t>实际供货款的</w:t>
      </w:r>
      <w:r>
        <w:rPr>
          <w:rFonts w:hint="eastAsia" w:ascii="方正仿宋_GBK" w:hAnsi="方正仿宋_GBK" w:eastAsia="方正仿宋_GBK" w:cs="方正仿宋_GBK"/>
          <w:sz w:val="24"/>
        </w:rPr>
        <w:t>80%</w:t>
      </w:r>
      <w:r>
        <w:rPr>
          <w:rFonts w:hint="eastAsia" w:ascii="方正仿宋_GBK" w:hAnsi="方正仿宋_GBK" w:eastAsia="方正仿宋_GBK" w:cs="方正仿宋_GBK"/>
          <w:sz w:val="24"/>
          <w:lang w:eastAsia="zh-CN"/>
        </w:rPr>
        <w:t>（不超过合同价的</w:t>
      </w:r>
      <w:r>
        <w:rPr>
          <w:rFonts w:hint="eastAsia" w:ascii="方正仿宋_GBK" w:hAnsi="方正仿宋_GBK" w:eastAsia="方正仿宋_GBK" w:cs="方正仿宋_GBK"/>
          <w:sz w:val="24"/>
          <w:lang w:val="en-US" w:eastAsia="zh-CN"/>
        </w:rPr>
        <w:t>80%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建设单位</w:t>
      </w:r>
      <w:r>
        <w:rPr>
          <w:rFonts w:hint="eastAsia" w:ascii="方正仿宋_GBK" w:hAnsi="方正仿宋_GBK" w:eastAsia="方正仿宋_GBK" w:cs="方正仿宋_GBK"/>
          <w:sz w:val="24"/>
        </w:rPr>
        <w:t>审计结束后付至审计</w:t>
      </w:r>
      <w:r>
        <w:rPr>
          <w:rFonts w:hint="eastAsia" w:ascii="方正仿宋_GBK" w:hAnsi="方正仿宋_GBK" w:eastAsia="方正仿宋_GBK" w:cs="方正仿宋_GBK"/>
          <w:sz w:val="24"/>
          <w:lang w:eastAsia="zh-CN"/>
        </w:rPr>
        <w:t>材料</w:t>
      </w:r>
      <w:r>
        <w:rPr>
          <w:rFonts w:hint="eastAsia" w:ascii="方正仿宋_GBK" w:hAnsi="方正仿宋_GBK" w:eastAsia="方正仿宋_GBK" w:cs="方正仿宋_GBK"/>
          <w:sz w:val="24"/>
        </w:rPr>
        <w:t>工作量的97%，两年质保期满后付清尾款（无息）。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 发票，税率</w:t>
      </w:r>
      <w:r>
        <w:rPr>
          <w:rFonts w:hint="eastAsia" w:ascii="方正仿宋_GBK" w:hAnsi="方正仿宋_GBK" w:eastAsia="方正仿宋_GBK" w:cs="方正仿宋_GBK"/>
          <w:spacing w:val="4"/>
          <w:sz w:val="24"/>
        </w:rPr>
        <w:t>为%，税金由乙方承担，乙方必须确保发票票面信息全部真实，相关货款品目、价款等内容与本合同相一致，甲方在收到乙方开具的符合合同约定的发票后给付货款。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姓名：顾涛</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接收地址：扬州市上善建设工程有限公司物资机械部</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联系方式：18932370025</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jc w:val="center"/>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YpOtDQAQAAmgMAAA4AAAAAAAAAAQAgAAAAHwEAAGRy&#10;cy9lMm9Eb2MueG1sUEsFBgAAAAAGAAYAWQEAAGE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14DF20AD"/>
    <w:multiLevelType w:val="singleLevel"/>
    <w:tmpl w:val="14DF20AD"/>
    <w:lvl w:ilvl="0" w:tentative="0">
      <w:start w:val="1"/>
      <w:numFmt w:val="decimal"/>
      <w:lvlText w:val="%1."/>
      <w:lvlJc w:val="left"/>
      <w:pPr>
        <w:tabs>
          <w:tab w:val="left" w:pos="312"/>
        </w:tabs>
        <w:ind w:left="480" w:leftChars="0" w:firstLine="0" w:firstLineChars="0"/>
      </w:p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Tc0NWRhMzdkNjg4YzdjMzY0ZmY0YzMzNzM1OGUifQ=="/>
    <w:docVar w:name="KSO_WPS_MARK_KEY" w:val="841b2289-90e6-4a6b-b783-3f07056b3c30"/>
  </w:docVars>
  <w:rsids>
    <w:rsidRoot w:val="00224C83"/>
    <w:rsid w:val="00002D23"/>
    <w:rsid w:val="00003464"/>
    <w:rsid w:val="000057D8"/>
    <w:rsid w:val="00012512"/>
    <w:rsid w:val="00012FD2"/>
    <w:rsid w:val="00017610"/>
    <w:rsid w:val="00025FC0"/>
    <w:rsid w:val="00031D5F"/>
    <w:rsid w:val="00034A1C"/>
    <w:rsid w:val="00040B75"/>
    <w:rsid w:val="00042AEB"/>
    <w:rsid w:val="0006415F"/>
    <w:rsid w:val="00067DB1"/>
    <w:rsid w:val="000706A2"/>
    <w:rsid w:val="00085EA4"/>
    <w:rsid w:val="0009202D"/>
    <w:rsid w:val="000956DB"/>
    <w:rsid w:val="000A791F"/>
    <w:rsid w:val="000B58C3"/>
    <w:rsid w:val="000B6384"/>
    <w:rsid w:val="000C36F1"/>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17BA"/>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6515"/>
    <w:rsid w:val="00326BC8"/>
    <w:rsid w:val="003272D0"/>
    <w:rsid w:val="003329AB"/>
    <w:rsid w:val="003407B3"/>
    <w:rsid w:val="003647C7"/>
    <w:rsid w:val="00371EF7"/>
    <w:rsid w:val="0037604A"/>
    <w:rsid w:val="003765DE"/>
    <w:rsid w:val="0038069A"/>
    <w:rsid w:val="00392C13"/>
    <w:rsid w:val="00394C90"/>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6F4A"/>
    <w:rsid w:val="004177C1"/>
    <w:rsid w:val="00421F8A"/>
    <w:rsid w:val="00426905"/>
    <w:rsid w:val="00436126"/>
    <w:rsid w:val="004426CF"/>
    <w:rsid w:val="004434D1"/>
    <w:rsid w:val="00443F30"/>
    <w:rsid w:val="0045063D"/>
    <w:rsid w:val="00451C87"/>
    <w:rsid w:val="004600DD"/>
    <w:rsid w:val="00461CEA"/>
    <w:rsid w:val="00463D5B"/>
    <w:rsid w:val="0046425D"/>
    <w:rsid w:val="00466454"/>
    <w:rsid w:val="00470F90"/>
    <w:rsid w:val="00474966"/>
    <w:rsid w:val="00475714"/>
    <w:rsid w:val="004817FA"/>
    <w:rsid w:val="0048240D"/>
    <w:rsid w:val="004829E3"/>
    <w:rsid w:val="004849A0"/>
    <w:rsid w:val="00490CC7"/>
    <w:rsid w:val="004A75B7"/>
    <w:rsid w:val="004B1C3F"/>
    <w:rsid w:val="004B3B8C"/>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2426"/>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0E93"/>
    <w:rsid w:val="006A653C"/>
    <w:rsid w:val="006A6C08"/>
    <w:rsid w:val="006B0FCE"/>
    <w:rsid w:val="006B0FDD"/>
    <w:rsid w:val="006B2F9C"/>
    <w:rsid w:val="006B3346"/>
    <w:rsid w:val="006B647B"/>
    <w:rsid w:val="006B7A2D"/>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28E9"/>
    <w:rsid w:val="00746D2D"/>
    <w:rsid w:val="00747859"/>
    <w:rsid w:val="007536A0"/>
    <w:rsid w:val="00754BF4"/>
    <w:rsid w:val="00760FD8"/>
    <w:rsid w:val="00764327"/>
    <w:rsid w:val="00767F71"/>
    <w:rsid w:val="007718E7"/>
    <w:rsid w:val="00786A5D"/>
    <w:rsid w:val="007911E6"/>
    <w:rsid w:val="0079187A"/>
    <w:rsid w:val="00792BD1"/>
    <w:rsid w:val="007A026A"/>
    <w:rsid w:val="007A0726"/>
    <w:rsid w:val="007A4F2E"/>
    <w:rsid w:val="007B02F2"/>
    <w:rsid w:val="007B74A0"/>
    <w:rsid w:val="007C2CE0"/>
    <w:rsid w:val="007C4DCE"/>
    <w:rsid w:val="007D370E"/>
    <w:rsid w:val="007D531E"/>
    <w:rsid w:val="007D54F6"/>
    <w:rsid w:val="007D7677"/>
    <w:rsid w:val="007E3706"/>
    <w:rsid w:val="007E3845"/>
    <w:rsid w:val="007F2510"/>
    <w:rsid w:val="007F54B3"/>
    <w:rsid w:val="00800506"/>
    <w:rsid w:val="008045E5"/>
    <w:rsid w:val="008057F3"/>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5849"/>
    <w:rsid w:val="008579C2"/>
    <w:rsid w:val="0086326E"/>
    <w:rsid w:val="00864B85"/>
    <w:rsid w:val="00870E52"/>
    <w:rsid w:val="00877552"/>
    <w:rsid w:val="008824A4"/>
    <w:rsid w:val="008855B0"/>
    <w:rsid w:val="008946EC"/>
    <w:rsid w:val="00894B23"/>
    <w:rsid w:val="008975D9"/>
    <w:rsid w:val="008A1181"/>
    <w:rsid w:val="008A331B"/>
    <w:rsid w:val="008A390D"/>
    <w:rsid w:val="008A6F4B"/>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53C3F"/>
    <w:rsid w:val="00A6195F"/>
    <w:rsid w:val="00A66ECD"/>
    <w:rsid w:val="00A8122F"/>
    <w:rsid w:val="00A95A1D"/>
    <w:rsid w:val="00A97159"/>
    <w:rsid w:val="00A97527"/>
    <w:rsid w:val="00AA3236"/>
    <w:rsid w:val="00AB1B40"/>
    <w:rsid w:val="00AB77A5"/>
    <w:rsid w:val="00AC2E47"/>
    <w:rsid w:val="00AD0922"/>
    <w:rsid w:val="00AD1946"/>
    <w:rsid w:val="00AD270C"/>
    <w:rsid w:val="00AD399F"/>
    <w:rsid w:val="00AE02D7"/>
    <w:rsid w:val="00AF1E28"/>
    <w:rsid w:val="00B079E1"/>
    <w:rsid w:val="00B131B0"/>
    <w:rsid w:val="00B132CB"/>
    <w:rsid w:val="00B15CED"/>
    <w:rsid w:val="00B233CE"/>
    <w:rsid w:val="00B25D60"/>
    <w:rsid w:val="00B26364"/>
    <w:rsid w:val="00B2708D"/>
    <w:rsid w:val="00B31D0E"/>
    <w:rsid w:val="00B35B8F"/>
    <w:rsid w:val="00B368D5"/>
    <w:rsid w:val="00B43BCB"/>
    <w:rsid w:val="00B53350"/>
    <w:rsid w:val="00B56124"/>
    <w:rsid w:val="00B6110F"/>
    <w:rsid w:val="00B67A4C"/>
    <w:rsid w:val="00B704F1"/>
    <w:rsid w:val="00B756AE"/>
    <w:rsid w:val="00B8150B"/>
    <w:rsid w:val="00B86D61"/>
    <w:rsid w:val="00B9347D"/>
    <w:rsid w:val="00B938DF"/>
    <w:rsid w:val="00B93978"/>
    <w:rsid w:val="00B97A5D"/>
    <w:rsid w:val="00BA02CC"/>
    <w:rsid w:val="00BA2171"/>
    <w:rsid w:val="00BA2634"/>
    <w:rsid w:val="00BA2739"/>
    <w:rsid w:val="00BB2A3D"/>
    <w:rsid w:val="00BB4D36"/>
    <w:rsid w:val="00BB6623"/>
    <w:rsid w:val="00BB78EA"/>
    <w:rsid w:val="00BC01FD"/>
    <w:rsid w:val="00BD40AF"/>
    <w:rsid w:val="00BD6F23"/>
    <w:rsid w:val="00BE43AD"/>
    <w:rsid w:val="00BF0102"/>
    <w:rsid w:val="00BF0AF8"/>
    <w:rsid w:val="00BF3051"/>
    <w:rsid w:val="00BF5899"/>
    <w:rsid w:val="00BF7559"/>
    <w:rsid w:val="00C018EA"/>
    <w:rsid w:val="00C03D80"/>
    <w:rsid w:val="00C13342"/>
    <w:rsid w:val="00C14D8E"/>
    <w:rsid w:val="00C16F6E"/>
    <w:rsid w:val="00C17220"/>
    <w:rsid w:val="00C215A5"/>
    <w:rsid w:val="00C2617E"/>
    <w:rsid w:val="00C34133"/>
    <w:rsid w:val="00C350C2"/>
    <w:rsid w:val="00C41B0E"/>
    <w:rsid w:val="00C46FA5"/>
    <w:rsid w:val="00C47AEC"/>
    <w:rsid w:val="00C6038B"/>
    <w:rsid w:val="00C63A78"/>
    <w:rsid w:val="00C646EA"/>
    <w:rsid w:val="00C66B79"/>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78F4"/>
    <w:rsid w:val="00D02F09"/>
    <w:rsid w:val="00D05F27"/>
    <w:rsid w:val="00D10746"/>
    <w:rsid w:val="00D12262"/>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B69BC"/>
    <w:rsid w:val="00DC76D5"/>
    <w:rsid w:val="00DD1856"/>
    <w:rsid w:val="00DD6D3A"/>
    <w:rsid w:val="00DE00D5"/>
    <w:rsid w:val="00DE3772"/>
    <w:rsid w:val="00DF3C86"/>
    <w:rsid w:val="00DF48D4"/>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3D2F"/>
    <w:rsid w:val="00EE65DB"/>
    <w:rsid w:val="00F04CE8"/>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10827C0"/>
    <w:rsid w:val="04A12C7F"/>
    <w:rsid w:val="05235BBF"/>
    <w:rsid w:val="057A6F83"/>
    <w:rsid w:val="098B3F8E"/>
    <w:rsid w:val="09A23D87"/>
    <w:rsid w:val="0AB508C2"/>
    <w:rsid w:val="0C006D9B"/>
    <w:rsid w:val="0CBB70A1"/>
    <w:rsid w:val="0D1A1CB5"/>
    <w:rsid w:val="0DA32D00"/>
    <w:rsid w:val="12EA5FE1"/>
    <w:rsid w:val="140864CF"/>
    <w:rsid w:val="173A63CB"/>
    <w:rsid w:val="18282018"/>
    <w:rsid w:val="18291A82"/>
    <w:rsid w:val="1D524DB7"/>
    <w:rsid w:val="1E4B2C37"/>
    <w:rsid w:val="1E6225BB"/>
    <w:rsid w:val="24946E9D"/>
    <w:rsid w:val="260C121F"/>
    <w:rsid w:val="26FF1814"/>
    <w:rsid w:val="2A0D2925"/>
    <w:rsid w:val="2A7E3A46"/>
    <w:rsid w:val="2B4431B2"/>
    <w:rsid w:val="2CA37518"/>
    <w:rsid w:val="2FFE5B53"/>
    <w:rsid w:val="32CA33D5"/>
    <w:rsid w:val="33976056"/>
    <w:rsid w:val="400F7E96"/>
    <w:rsid w:val="41423887"/>
    <w:rsid w:val="419453CF"/>
    <w:rsid w:val="43BC6694"/>
    <w:rsid w:val="475E7FB1"/>
    <w:rsid w:val="49B818C5"/>
    <w:rsid w:val="4AD23574"/>
    <w:rsid w:val="4AE83AA4"/>
    <w:rsid w:val="4B7029BB"/>
    <w:rsid w:val="4C3558DD"/>
    <w:rsid w:val="4FE34DE9"/>
    <w:rsid w:val="509753B2"/>
    <w:rsid w:val="513F3A5E"/>
    <w:rsid w:val="51752CA9"/>
    <w:rsid w:val="54CF56ED"/>
    <w:rsid w:val="56A8222D"/>
    <w:rsid w:val="5748422D"/>
    <w:rsid w:val="57511209"/>
    <w:rsid w:val="58D6764A"/>
    <w:rsid w:val="58FA064D"/>
    <w:rsid w:val="5908457E"/>
    <w:rsid w:val="59611D61"/>
    <w:rsid w:val="59B57910"/>
    <w:rsid w:val="5B2229F6"/>
    <w:rsid w:val="5BE72873"/>
    <w:rsid w:val="5DDA5CC5"/>
    <w:rsid w:val="5EB86E92"/>
    <w:rsid w:val="65C21F78"/>
    <w:rsid w:val="65EB0E69"/>
    <w:rsid w:val="68537464"/>
    <w:rsid w:val="68D74124"/>
    <w:rsid w:val="6D116F45"/>
    <w:rsid w:val="718A5D23"/>
    <w:rsid w:val="744A5F9C"/>
    <w:rsid w:val="778C2829"/>
    <w:rsid w:val="77D7083D"/>
    <w:rsid w:val="7AA72593"/>
    <w:rsid w:val="7B646DB9"/>
    <w:rsid w:val="7CCA4BCF"/>
    <w:rsid w:val="7DB6110D"/>
    <w:rsid w:val="7DBF6F5E"/>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5689</Words>
  <Characters>6049</Characters>
  <Lines>47</Lines>
  <Paragraphs>13</Paragraphs>
  <TotalTime>42</TotalTime>
  <ScaleCrop>false</ScaleCrop>
  <LinksUpToDate>false</LinksUpToDate>
  <CharactersWithSpaces>6711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2022-08-01T07:38:00Z</dcterms:created>
  <dc:creator>dzs</dc:creator>
  <cp:lastModifiedBy>于剑</cp:lastModifiedBy>
  <cp:lastPrinted>2023-01-06T09:53:10Z</cp:lastPrinted>
  <dcterms:modified xsi:type="dcterms:W3CDTF">2023-01-06T09:54:07Z</dcterms:modified>
  <dc:title>扬州自来水总公司工程材料招标邀请书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AF63E55DD3D34951B42F305A70656D26</vt:lpwstr>
  </property>
</Properties>
</file>