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6E93328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生态科技新城杭集镇2025年污水处理提质增效工程EPC工程总承包</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石材材料采购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8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22 </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57"/>
        <w:gridCol w:w="1942"/>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57"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D4E268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生态科技新城杭集镇2025年污水处理提质增效工程EPC工程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57"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57"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57"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57"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57"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57"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57"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57"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57"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57"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22 </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25 </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57"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172"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57"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42"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57"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57"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6"/>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57"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172"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1B4BFE4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CE7A4C2">
      <w:pPr>
        <w:ind w:firstLine="422" w:firstLineChars="200"/>
        <w:rPr>
          <w:rFonts w:hint="eastAsia"/>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color w:val="000000" w:themeColor="text1"/>
          <w:szCs w:val="21"/>
          <w:lang w:val="en-US" w:eastAsia="zh-CN"/>
          <w14:textFill>
            <w14:solidFill>
              <w14:schemeClr w14:val="tx1"/>
            </w14:solidFill>
          </w14:textFill>
        </w:rPr>
        <w:t>生态科技新城杭集镇2025年污水处理提质增效工程</w:t>
      </w:r>
      <w:r>
        <w:rPr>
          <w:rFonts w:hint="eastAsia" w:ascii="宋体" w:hAnsi="宋体"/>
          <w:szCs w:val="21"/>
          <w:lang w:val="en-US" w:eastAsia="zh-CN"/>
        </w:rPr>
        <w:t>材料采购</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79"/>
        <w:gridCol w:w="1350"/>
        <w:gridCol w:w="750"/>
        <w:gridCol w:w="915"/>
        <w:gridCol w:w="1575"/>
        <w:gridCol w:w="1590"/>
        <w:gridCol w:w="1530"/>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66" w:type="dxa"/>
            <w:shd w:val="clear" w:color="auto" w:fill="auto"/>
            <w:vAlign w:val="center"/>
          </w:tcPr>
          <w:p w14:paraId="51E9DF18">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1479" w:type="dxa"/>
            <w:shd w:val="clear" w:color="auto" w:fill="auto"/>
            <w:vAlign w:val="center"/>
          </w:tcPr>
          <w:p w14:paraId="69BE5FD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350" w:type="dxa"/>
            <w:shd w:val="clear" w:color="auto" w:fill="auto"/>
            <w:vAlign w:val="center"/>
          </w:tcPr>
          <w:p w14:paraId="7063CC3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750" w:type="dxa"/>
            <w:shd w:val="clear" w:color="auto" w:fill="auto"/>
            <w:vAlign w:val="center"/>
          </w:tcPr>
          <w:p w14:paraId="3BAD5D81">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15" w:type="dxa"/>
            <w:shd w:val="clear" w:color="auto" w:fill="auto"/>
            <w:vAlign w:val="center"/>
          </w:tcPr>
          <w:p w14:paraId="2F6FC91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575" w:type="dxa"/>
            <w:shd w:val="clear" w:color="auto" w:fill="auto"/>
            <w:vAlign w:val="center"/>
          </w:tcPr>
          <w:p w14:paraId="1A6D60C5">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最高限价</w:t>
            </w:r>
          </w:p>
          <w:p w14:paraId="0FCEADCB">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（含</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税价）</w:t>
            </w:r>
          </w:p>
        </w:tc>
        <w:tc>
          <w:tcPr>
            <w:tcW w:w="1590" w:type="dxa"/>
            <w:shd w:val="clear" w:color="auto" w:fill="auto"/>
            <w:vAlign w:val="center"/>
          </w:tcPr>
          <w:p w14:paraId="57B94FDB">
            <w:pPr>
              <w:pStyle w:val="6"/>
              <w:ind w:left="0" w:left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总价</w:t>
            </w:r>
          </w:p>
          <w:p w14:paraId="204CA9B3">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含</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530" w:type="dxa"/>
            <w:shd w:val="clear" w:color="auto" w:fill="auto"/>
            <w:vAlign w:val="center"/>
          </w:tcPr>
          <w:p w14:paraId="6B2ADE2A">
            <w:pPr>
              <w:pStyle w:val="6"/>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66"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1479"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平石</w:t>
            </w:r>
          </w:p>
        </w:tc>
        <w:tc>
          <w:tcPr>
            <w:tcW w:w="1350" w:type="dxa"/>
            <w:vAlign w:val="center"/>
          </w:tcPr>
          <w:p w14:paraId="495645E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70*300*500mm</w:t>
            </w:r>
          </w:p>
        </w:tc>
        <w:tc>
          <w:tcPr>
            <w:tcW w:w="750"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0A2C1327">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3329</w:t>
            </w:r>
          </w:p>
        </w:tc>
        <w:tc>
          <w:tcPr>
            <w:tcW w:w="1575"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590"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116515</w:t>
            </w:r>
          </w:p>
        </w:tc>
        <w:tc>
          <w:tcPr>
            <w:tcW w:w="1530" w:type="dxa"/>
            <w:vAlign w:val="center"/>
          </w:tcPr>
          <w:p w14:paraId="5E75AF30">
            <w:pPr>
              <w:jc w:val="center"/>
              <w:rPr>
                <w:rFonts w:hint="default"/>
                <w:vertAlign w:val="baseline"/>
                <w:lang w:val="en-US" w:eastAsia="zh-CN"/>
              </w:rPr>
            </w:pPr>
          </w:p>
        </w:tc>
      </w:tr>
      <w:tr w14:paraId="6580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66" w:type="dxa"/>
            <w:vAlign w:val="center"/>
          </w:tcPr>
          <w:p w14:paraId="09E87AEB">
            <w:pPr>
              <w:jc w:val="center"/>
              <w:rPr>
                <w:rFonts w:hint="default"/>
                <w:vertAlign w:val="baseline"/>
                <w:lang w:val="en-US" w:eastAsia="zh-CN"/>
              </w:rPr>
            </w:pPr>
            <w:r>
              <w:rPr>
                <w:rFonts w:hint="eastAsia"/>
                <w:vertAlign w:val="baseline"/>
                <w:lang w:val="en-US" w:eastAsia="zh-CN"/>
              </w:rPr>
              <w:t>2</w:t>
            </w:r>
          </w:p>
        </w:tc>
        <w:tc>
          <w:tcPr>
            <w:tcW w:w="1479" w:type="dxa"/>
            <w:vAlign w:val="center"/>
          </w:tcPr>
          <w:p w14:paraId="1BD08B7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边石</w:t>
            </w:r>
          </w:p>
        </w:tc>
        <w:tc>
          <w:tcPr>
            <w:tcW w:w="1350" w:type="dxa"/>
            <w:vAlign w:val="center"/>
          </w:tcPr>
          <w:p w14:paraId="367DFB9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75*200*990mm</w:t>
            </w:r>
          </w:p>
        </w:tc>
        <w:tc>
          <w:tcPr>
            <w:tcW w:w="750" w:type="dxa"/>
            <w:vAlign w:val="center"/>
          </w:tcPr>
          <w:p w14:paraId="705A26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2DE8C388">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 xml:space="preserve">3334 </w:t>
            </w:r>
          </w:p>
        </w:tc>
        <w:tc>
          <w:tcPr>
            <w:tcW w:w="1575" w:type="dxa"/>
            <w:shd w:val="clear" w:color="auto" w:fill="auto"/>
            <w:vAlign w:val="center"/>
          </w:tcPr>
          <w:p w14:paraId="13E733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590" w:type="dxa"/>
            <w:vAlign w:val="center"/>
          </w:tcPr>
          <w:p w14:paraId="62A3FAA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86684</w:t>
            </w:r>
          </w:p>
        </w:tc>
        <w:tc>
          <w:tcPr>
            <w:tcW w:w="1530" w:type="dxa"/>
            <w:vAlign w:val="center"/>
          </w:tcPr>
          <w:p w14:paraId="317FFD32">
            <w:pPr>
              <w:jc w:val="center"/>
              <w:rPr>
                <w:rFonts w:hint="eastAsia"/>
                <w:vertAlign w:val="baseline"/>
                <w:lang w:val="en-US" w:eastAsia="zh-CN"/>
              </w:rPr>
            </w:pPr>
          </w:p>
        </w:tc>
      </w:tr>
      <w:tr w14:paraId="384C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66" w:type="dxa"/>
            <w:vAlign w:val="center"/>
          </w:tcPr>
          <w:p w14:paraId="36060160">
            <w:pPr>
              <w:jc w:val="center"/>
              <w:rPr>
                <w:rFonts w:hint="default"/>
                <w:vertAlign w:val="baseline"/>
                <w:lang w:val="en-US" w:eastAsia="zh-CN"/>
              </w:rPr>
            </w:pPr>
            <w:r>
              <w:rPr>
                <w:rFonts w:hint="eastAsia"/>
                <w:vertAlign w:val="baseline"/>
                <w:lang w:val="en-US" w:eastAsia="zh-CN"/>
              </w:rPr>
              <w:t>3</w:t>
            </w:r>
          </w:p>
        </w:tc>
        <w:tc>
          <w:tcPr>
            <w:tcW w:w="1479" w:type="dxa"/>
            <w:vAlign w:val="center"/>
          </w:tcPr>
          <w:p w14:paraId="72784DB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vAlign w:val="center"/>
          </w:tcPr>
          <w:p w14:paraId="556F80E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125*275*1000，倒角10*10</w:t>
            </w:r>
          </w:p>
        </w:tc>
        <w:tc>
          <w:tcPr>
            <w:tcW w:w="750" w:type="dxa"/>
            <w:vAlign w:val="center"/>
          </w:tcPr>
          <w:p w14:paraId="496FAE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vAlign w:val="center"/>
          </w:tcPr>
          <w:p w14:paraId="7339946B">
            <w:pPr>
              <w:keepNext w:val="0"/>
              <w:keepLines w:val="0"/>
              <w:widowControl/>
              <w:suppressLineNumbers w:val="0"/>
              <w:jc w:val="center"/>
              <w:textAlignment w:val="center"/>
              <w:rPr>
                <w:rFonts w:hint="default"/>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3523</w:t>
            </w:r>
          </w:p>
        </w:tc>
        <w:tc>
          <w:tcPr>
            <w:tcW w:w="1575" w:type="dxa"/>
            <w:shd w:val="clear" w:color="auto" w:fill="auto"/>
            <w:vAlign w:val="center"/>
          </w:tcPr>
          <w:p w14:paraId="652878B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590" w:type="dxa"/>
            <w:vAlign w:val="center"/>
          </w:tcPr>
          <w:p w14:paraId="70230F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193765</w:t>
            </w:r>
          </w:p>
        </w:tc>
        <w:tc>
          <w:tcPr>
            <w:tcW w:w="1530" w:type="dxa"/>
            <w:vAlign w:val="center"/>
          </w:tcPr>
          <w:p w14:paraId="1D9E033C">
            <w:pPr>
              <w:jc w:val="center"/>
              <w:rPr>
                <w:rFonts w:hint="default"/>
                <w:vertAlign w:val="baseline"/>
                <w:lang w:val="en-US" w:eastAsia="zh-CN"/>
              </w:rPr>
            </w:pPr>
          </w:p>
        </w:tc>
      </w:tr>
      <w:tr w14:paraId="5D6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66" w:type="dxa"/>
            <w:vAlign w:val="center"/>
          </w:tcPr>
          <w:p w14:paraId="0E14F68C">
            <w:pPr>
              <w:jc w:val="center"/>
              <w:rPr>
                <w:rFonts w:hint="default"/>
                <w:vertAlign w:val="baseline"/>
                <w:lang w:val="en-US" w:eastAsia="zh-CN"/>
              </w:rPr>
            </w:pPr>
            <w:r>
              <w:rPr>
                <w:rFonts w:hint="eastAsia"/>
                <w:vertAlign w:val="baseline"/>
                <w:lang w:val="en-US" w:eastAsia="zh-CN"/>
              </w:rPr>
              <w:t>4</w:t>
            </w:r>
          </w:p>
        </w:tc>
        <w:tc>
          <w:tcPr>
            <w:tcW w:w="1479" w:type="dxa"/>
            <w:vAlign w:val="center"/>
          </w:tcPr>
          <w:p w14:paraId="27A96A5C">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iCs w:val="0"/>
                <w:color w:val="000000"/>
                <w:kern w:val="0"/>
                <w:sz w:val="22"/>
                <w:szCs w:val="22"/>
                <w:u w:val="none"/>
                <w:lang w:val="en-US" w:eastAsia="zh-CN" w:bidi="ar"/>
              </w:rPr>
              <w:t>普通</w:t>
            </w: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vAlign w:val="center"/>
          </w:tcPr>
          <w:p w14:paraId="174C87E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150*320*1000，倒角10*10</w:t>
            </w:r>
          </w:p>
        </w:tc>
        <w:tc>
          <w:tcPr>
            <w:tcW w:w="750" w:type="dxa"/>
            <w:vAlign w:val="center"/>
          </w:tcPr>
          <w:p w14:paraId="5C84C95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4E97AA2C">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4021 </w:t>
            </w:r>
          </w:p>
        </w:tc>
        <w:tc>
          <w:tcPr>
            <w:tcW w:w="1575" w:type="dxa"/>
            <w:shd w:val="clear" w:color="auto" w:fill="auto"/>
            <w:vAlign w:val="center"/>
          </w:tcPr>
          <w:p w14:paraId="6BAD306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590" w:type="dxa"/>
            <w:vAlign w:val="center"/>
          </w:tcPr>
          <w:p w14:paraId="5937CFB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486541</w:t>
            </w:r>
          </w:p>
        </w:tc>
        <w:tc>
          <w:tcPr>
            <w:tcW w:w="1530" w:type="dxa"/>
            <w:vAlign w:val="center"/>
          </w:tcPr>
          <w:p w14:paraId="5EC5BCB8">
            <w:pPr>
              <w:jc w:val="center"/>
              <w:rPr>
                <w:rFonts w:hint="default"/>
                <w:vertAlign w:val="baseline"/>
                <w:lang w:val="en-US" w:eastAsia="zh-CN"/>
              </w:rPr>
            </w:pPr>
            <w:r>
              <w:rPr>
                <w:rFonts w:hint="eastAsia"/>
                <w:vertAlign w:val="baseline"/>
                <w:lang w:val="en-US" w:eastAsia="zh-CN"/>
              </w:rPr>
              <w:t>见图1</w:t>
            </w:r>
          </w:p>
        </w:tc>
      </w:tr>
      <w:tr w14:paraId="3DA9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6" w:type="dxa"/>
            <w:vAlign w:val="center"/>
          </w:tcPr>
          <w:p w14:paraId="2713356A">
            <w:pPr>
              <w:jc w:val="center"/>
              <w:rPr>
                <w:rFonts w:hint="default"/>
                <w:vertAlign w:val="baseline"/>
                <w:lang w:val="en-US" w:eastAsia="zh-CN"/>
              </w:rPr>
            </w:pPr>
            <w:r>
              <w:rPr>
                <w:rFonts w:hint="eastAsia"/>
                <w:vertAlign w:val="baseline"/>
                <w:lang w:val="en-US" w:eastAsia="zh-CN"/>
              </w:rPr>
              <w:t>5</w:t>
            </w:r>
          </w:p>
        </w:tc>
        <w:tc>
          <w:tcPr>
            <w:tcW w:w="1479" w:type="dxa"/>
            <w:vAlign w:val="center"/>
          </w:tcPr>
          <w:p w14:paraId="7A3E4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普通花岗岩侧石（圆弧段）R0.75</w:t>
            </w:r>
          </w:p>
        </w:tc>
        <w:tc>
          <w:tcPr>
            <w:tcW w:w="1350" w:type="dxa"/>
            <w:vAlign w:val="center"/>
          </w:tcPr>
          <w:p w14:paraId="5A3F57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125*275   倒角10*10，芝麻灰花岗岩，侧分带断面宽度1.5m</w:t>
            </w:r>
          </w:p>
        </w:tc>
        <w:tc>
          <w:tcPr>
            <w:tcW w:w="750" w:type="dxa"/>
            <w:vAlign w:val="center"/>
          </w:tcPr>
          <w:p w14:paraId="3DDC4E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31C77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575" w:type="dxa"/>
            <w:shd w:val="clear" w:color="auto" w:fill="auto"/>
            <w:vAlign w:val="center"/>
          </w:tcPr>
          <w:p w14:paraId="5E4137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590" w:type="dxa"/>
            <w:vAlign w:val="center"/>
          </w:tcPr>
          <w:p w14:paraId="20F6A5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3504</w:t>
            </w:r>
          </w:p>
        </w:tc>
        <w:tc>
          <w:tcPr>
            <w:tcW w:w="1530" w:type="dxa"/>
            <w:vAlign w:val="center"/>
          </w:tcPr>
          <w:p w14:paraId="6E89D47A">
            <w:pPr>
              <w:jc w:val="center"/>
              <w:rPr>
                <w:rFonts w:hint="eastAsia" w:cs="Times New Roman"/>
                <w:color w:val="000000"/>
                <w:kern w:val="2"/>
                <w:sz w:val="21"/>
                <w:szCs w:val="24"/>
                <w:lang w:val="en-US" w:eastAsia="zh-CN" w:bidi="ar-SA"/>
              </w:rPr>
            </w:pPr>
          </w:p>
        </w:tc>
      </w:tr>
      <w:tr w14:paraId="66D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66" w:type="dxa"/>
            <w:vAlign w:val="center"/>
          </w:tcPr>
          <w:p w14:paraId="1606435F">
            <w:pPr>
              <w:jc w:val="center"/>
              <w:rPr>
                <w:rFonts w:hint="default"/>
                <w:vertAlign w:val="baseline"/>
                <w:lang w:val="en-US" w:eastAsia="zh-CN"/>
              </w:rPr>
            </w:pPr>
            <w:r>
              <w:rPr>
                <w:rFonts w:hint="eastAsia"/>
                <w:vertAlign w:val="baseline"/>
                <w:lang w:val="en-US" w:eastAsia="zh-CN"/>
              </w:rPr>
              <w:t>6</w:t>
            </w:r>
          </w:p>
        </w:tc>
        <w:tc>
          <w:tcPr>
            <w:tcW w:w="1479" w:type="dxa"/>
            <w:shd w:val="clear" w:color="auto" w:fill="auto"/>
            <w:vAlign w:val="center"/>
          </w:tcPr>
          <w:p w14:paraId="09E317FB">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普通花岗岩侧石（圆弧段）R1.25</w:t>
            </w:r>
          </w:p>
        </w:tc>
        <w:tc>
          <w:tcPr>
            <w:tcW w:w="1350" w:type="dxa"/>
            <w:shd w:val="clear" w:color="auto" w:fill="auto"/>
            <w:vAlign w:val="center"/>
          </w:tcPr>
          <w:p w14:paraId="6755E08F">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125*275  倒角10*10，芝麻灰花岗岩，侧分带断面宽度2.5m</w:t>
            </w:r>
          </w:p>
        </w:tc>
        <w:tc>
          <w:tcPr>
            <w:tcW w:w="750" w:type="dxa"/>
            <w:vAlign w:val="center"/>
          </w:tcPr>
          <w:p w14:paraId="1E6B441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6E657ACA">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8</w:t>
            </w:r>
          </w:p>
        </w:tc>
        <w:tc>
          <w:tcPr>
            <w:tcW w:w="1575" w:type="dxa"/>
            <w:shd w:val="clear" w:color="auto" w:fill="auto"/>
            <w:vAlign w:val="center"/>
          </w:tcPr>
          <w:p w14:paraId="2F05779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590" w:type="dxa"/>
            <w:vAlign w:val="center"/>
          </w:tcPr>
          <w:p w14:paraId="7014760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11388</w:t>
            </w:r>
          </w:p>
        </w:tc>
        <w:tc>
          <w:tcPr>
            <w:tcW w:w="1530" w:type="dxa"/>
            <w:vAlign w:val="center"/>
          </w:tcPr>
          <w:p w14:paraId="3566F020">
            <w:pPr>
              <w:jc w:val="center"/>
              <w:rPr>
                <w:rFonts w:hint="eastAsia" w:cs="Times New Roman"/>
                <w:color w:val="000000"/>
                <w:kern w:val="2"/>
                <w:sz w:val="21"/>
                <w:szCs w:val="24"/>
                <w:lang w:val="en-US" w:eastAsia="zh-CN" w:bidi="ar-SA"/>
              </w:rPr>
            </w:pPr>
          </w:p>
        </w:tc>
      </w:tr>
      <w:tr w14:paraId="4E08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5B67789C">
            <w:pPr>
              <w:jc w:val="center"/>
              <w:rPr>
                <w:rFonts w:hint="default"/>
                <w:vertAlign w:val="baseline"/>
                <w:lang w:val="en-US" w:eastAsia="zh-CN"/>
              </w:rPr>
            </w:pPr>
            <w:r>
              <w:rPr>
                <w:rFonts w:hint="eastAsia"/>
                <w:vertAlign w:val="baseline"/>
                <w:lang w:val="en-US" w:eastAsia="zh-CN"/>
              </w:rPr>
              <w:t>7</w:t>
            </w:r>
          </w:p>
        </w:tc>
        <w:tc>
          <w:tcPr>
            <w:tcW w:w="1479" w:type="dxa"/>
            <w:shd w:val="clear" w:color="auto" w:fill="auto"/>
            <w:vAlign w:val="center"/>
          </w:tcPr>
          <w:p w14:paraId="61525475">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普通花岗岩侧石（圆弧段）R1.5</w:t>
            </w:r>
          </w:p>
        </w:tc>
        <w:tc>
          <w:tcPr>
            <w:tcW w:w="1350" w:type="dxa"/>
            <w:shd w:val="clear" w:color="auto" w:fill="auto"/>
            <w:vAlign w:val="center"/>
          </w:tcPr>
          <w:p w14:paraId="0981AD21">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125*275   倒角10*10，芝麻灰花岗岩，侧分带断面宽度3m</w:t>
            </w:r>
          </w:p>
        </w:tc>
        <w:tc>
          <w:tcPr>
            <w:tcW w:w="750" w:type="dxa"/>
            <w:vAlign w:val="center"/>
          </w:tcPr>
          <w:p w14:paraId="5841FF2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0AB2DEC8">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575" w:type="dxa"/>
            <w:shd w:val="clear" w:color="auto" w:fill="auto"/>
            <w:vAlign w:val="center"/>
          </w:tcPr>
          <w:p w14:paraId="06DD86A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590" w:type="dxa"/>
            <w:vAlign w:val="center"/>
          </w:tcPr>
          <w:p w14:paraId="2B5C4D0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6862</w:t>
            </w:r>
          </w:p>
        </w:tc>
        <w:tc>
          <w:tcPr>
            <w:tcW w:w="1530" w:type="dxa"/>
            <w:vAlign w:val="center"/>
          </w:tcPr>
          <w:p w14:paraId="7BB7AB1E">
            <w:pPr>
              <w:jc w:val="center"/>
              <w:rPr>
                <w:rFonts w:hint="eastAsia" w:cs="Times New Roman"/>
                <w:color w:val="000000"/>
                <w:kern w:val="2"/>
                <w:sz w:val="21"/>
                <w:szCs w:val="24"/>
                <w:lang w:val="en-US" w:eastAsia="zh-CN" w:bidi="ar-SA"/>
              </w:rPr>
            </w:pPr>
          </w:p>
        </w:tc>
      </w:tr>
      <w:tr w14:paraId="658F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6" w:type="dxa"/>
            <w:vAlign w:val="center"/>
          </w:tcPr>
          <w:p w14:paraId="3831D15F">
            <w:pPr>
              <w:jc w:val="center"/>
              <w:rPr>
                <w:rFonts w:hint="default"/>
                <w:vertAlign w:val="baseline"/>
                <w:lang w:val="en-US" w:eastAsia="zh-CN"/>
              </w:rPr>
            </w:pPr>
            <w:r>
              <w:rPr>
                <w:rFonts w:hint="eastAsia"/>
                <w:vertAlign w:val="baseline"/>
                <w:lang w:val="en-US" w:eastAsia="zh-CN"/>
              </w:rPr>
              <w:t>8</w:t>
            </w:r>
          </w:p>
        </w:tc>
        <w:tc>
          <w:tcPr>
            <w:tcW w:w="1479" w:type="dxa"/>
            <w:shd w:val="clear" w:color="auto" w:fill="auto"/>
            <w:vAlign w:val="center"/>
          </w:tcPr>
          <w:p w14:paraId="56A89E41">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cs="宋体"/>
                <w:i w:val="0"/>
                <w:iCs w:val="0"/>
                <w:color w:val="000000"/>
                <w:kern w:val="0"/>
                <w:sz w:val="22"/>
                <w:szCs w:val="22"/>
                <w:u w:val="none"/>
                <w:lang w:val="en-US" w:eastAsia="zh-CN" w:bidi="ar"/>
              </w:rPr>
              <w:t>花饰</w:t>
            </w:r>
            <w:r>
              <w:rPr>
                <w:rFonts w:hint="eastAsia" w:ascii="宋体" w:hAnsi="宋体" w:eastAsia="宋体" w:cs="宋体"/>
                <w:i w:val="0"/>
                <w:iCs w:val="0"/>
                <w:color w:val="000000"/>
                <w:kern w:val="0"/>
                <w:sz w:val="22"/>
                <w:szCs w:val="22"/>
                <w:u w:val="none"/>
                <w:lang w:val="en-US" w:eastAsia="zh-CN" w:bidi="ar"/>
              </w:rPr>
              <w:t>芝麻灰花岗岩</w:t>
            </w:r>
            <w:r>
              <w:rPr>
                <w:rFonts w:hint="eastAsia" w:ascii="宋体" w:hAnsi="宋体" w:eastAsia="宋体" w:cs="宋体"/>
                <w:i w:val="0"/>
                <w:iCs w:val="0"/>
                <w:color w:val="000000"/>
                <w:kern w:val="0"/>
                <w:sz w:val="21"/>
                <w:szCs w:val="21"/>
                <w:u w:val="none"/>
                <w:lang w:val="en-US" w:eastAsia="zh-CN" w:bidi="ar"/>
              </w:rPr>
              <w:t>侧石</w:t>
            </w:r>
          </w:p>
        </w:tc>
        <w:tc>
          <w:tcPr>
            <w:tcW w:w="1350" w:type="dxa"/>
            <w:shd w:val="clear" w:color="auto" w:fill="auto"/>
            <w:vAlign w:val="center"/>
          </w:tcPr>
          <w:p w14:paraId="17253D04">
            <w:pPr>
              <w:keepNext w:val="0"/>
              <w:keepLines w:val="0"/>
              <w:widowControl/>
              <w:suppressLineNumbers w:val="0"/>
              <w:jc w:val="center"/>
              <w:textAlignment w:val="center"/>
              <w:rPr>
                <w:rFonts w:hint="eastAsia" w:ascii="Times New Roman" w:hAnsi="Times New Roman" w:eastAsia="宋体" w:cs="Times New Roman"/>
                <w:kern w:val="2"/>
                <w:sz w:val="21"/>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150*320*1000，倒角10*10</w:t>
            </w:r>
          </w:p>
        </w:tc>
        <w:tc>
          <w:tcPr>
            <w:tcW w:w="750" w:type="dxa"/>
            <w:vAlign w:val="center"/>
          </w:tcPr>
          <w:p w14:paraId="6068342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15" w:type="dxa"/>
            <w:shd w:val="clear" w:color="auto" w:fill="auto"/>
            <w:vAlign w:val="center"/>
          </w:tcPr>
          <w:p w14:paraId="042E5173">
            <w:pPr>
              <w:keepNext w:val="0"/>
              <w:keepLines w:val="0"/>
              <w:widowControl/>
              <w:suppressLineNumbers w:val="0"/>
              <w:jc w:val="center"/>
              <w:textAlignment w:val="center"/>
              <w:rPr>
                <w:rFonts w:hint="default" w:ascii="Times New Roman" w:hAnsi="Times New Roman" w:eastAsia="宋体" w:cs="Times New Roman"/>
                <w:kern w:val="2"/>
                <w:sz w:val="24"/>
                <w:szCs w:val="24"/>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1012</w:t>
            </w:r>
          </w:p>
        </w:tc>
        <w:tc>
          <w:tcPr>
            <w:tcW w:w="1575" w:type="dxa"/>
            <w:shd w:val="clear" w:color="auto" w:fill="auto"/>
            <w:vAlign w:val="center"/>
          </w:tcPr>
          <w:p w14:paraId="5A7D76E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590" w:type="dxa"/>
            <w:vAlign w:val="center"/>
          </w:tcPr>
          <w:p w14:paraId="45631FD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122452</w:t>
            </w:r>
          </w:p>
        </w:tc>
        <w:tc>
          <w:tcPr>
            <w:tcW w:w="1530" w:type="dxa"/>
            <w:vAlign w:val="center"/>
          </w:tcPr>
          <w:p w14:paraId="44A87D84">
            <w:pPr>
              <w:jc w:val="center"/>
              <w:rPr>
                <w:rFonts w:hint="default" w:cs="Times New Roman"/>
                <w:color w:val="000000"/>
                <w:kern w:val="2"/>
                <w:sz w:val="21"/>
                <w:szCs w:val="24"/>
                <w:lang w:val="en-US" w:eastAsia="zh-CN" w:bidi="ar-SA"/>
              </w:rPr>
            </w:pPr>
            <w:r>
              <w:rPr>
                <w:rFonts w:hint="eastAsia"/>
                <w:vertAlign w:val="baseline"/>
                <w:lang w:val="en-US" w:eastAsia="zh-CN"/>
              </w:rPr>
              <w:t>见图2</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6"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1479"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vAlign w:val="center"/>
          </w:tcPr>
          <w:p w14:paraId="317C8DB3">
            <w:pPr>
              <w:jc w:val="center"/>
              <w:rPr>
                <w:rFonts w:hint="default"/>
                <w:vertAlign w:val="baseline"/>
                <w:lang w:val="en-US" w:eastAsia="zh-CN"/>
              </w:rPr>
            </w:pPr>
          </w:p>
        </w:tc>
        <w:tc>
          <w:tcPr>
            <w:tcW w:w="750"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15"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575"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590" w:type="dxa"/>
            <w:shd w:val="clear" w:color="auto" w:fill="auto"/>
            <w:vAlign w:val="center"/>
          </w:tcPr>
          <w:p w14:paraId="75205A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1027711</w:t>
            </w:r>
          </w:p>
        </w:tc>
        <w:tc>
          <w:tcPr>
            <w:tcW w:w="1530" w:type="dxa"/>
            <w:vAlign w:val="center"/>
          </w:tcPr>
          <w:p w14:paraId="629E1A63">
            <w:pPr>
              <w:jc w:val="center"/>
              <w:rPr>
                <w:rFonts w:hint="default"/>
                <w:vertAlign w:val="baseline"/>
                <w:lang w:val="en-US" w:eastAsia="zh-CN"/>
              </w:rPr>
            </w:pPr>
          </w:p>
        </w:tc>
      </w:tr>
    </w:tbl>
    <w:p w14:paraId="75EF4BE6">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注：石材经过建设单位认可的第三方检测单位检测，并出具相关报告，样品及检测费用包含在综合单价中。若样品进行验收检测后判定为不合格， 3个工作日内重新提供样品或对原样品进行整改。复检费用（包括但不限于检测费、人工费、材料损耗费等）由中标方承担。</w:t>
      </w:r>
    </w:p>
    <w:p w14:paraId="620F7424">
      <w:pPr>
        <w:numPr>
          <w:ilvl w:val="0"/>
          <w:numId w:val="0"/>
        </w:numPr>
        <w:autoSpaceDE w:val="0"/>
        <w:autoSpaceDN w:val="0"/>
        <w:adjustRightInd w:val="0"/>
        <w:snapToGrid w:val="0"/>
        <w:spacing w:line="480" w:lineRule="exact"/>
        <w:ind w:firstLine="420" w:firstLineChars="200"/>
        <w:rPr>
          <w:rFonts w:hint="eastAsia" w:ascii="宋体" w:hAnsi="宋体"/>
          <w:color w:val="FF0000"/>
          <w:szCs w:val="21"/>
          <w:lang w:val="en-US" w:eastAsia="zh-CN"/>
        </w:rPr>
      </w:pPr>
      <w:r>
        <w:rPr>
          <w:rFonts w:hint="eastAsia" w:ascii="宋体" w:hAnsi="宋体"/>
          <w:color w:val="FF0000"/>
          <w:szCs w:val="21"/>
          <w:lang w:val="en-US" w:eastAsia="zh-CN"/>
        </w:rPr>
        <w:t>3、结算方式：中标材料单价（含3%税）*对应材料数量=结算总价（含3%税）</w:t>
      </w:r>
    </w:p>
    <w:p w14:paraId="08C17393">
      <w:pPr>
        <w:numPr>
          <w:ilvl w:val="0"/>
          <w:numId w:val="0"/>
        </w:numPr>
        <w:autoSpaceDE w:val="0"/>
        <w:autoSpaceDN w:val="0"/>
        <w:adjustRightInd w:val="0"/>
        <w:snapToGrid w:val="0"/>
        <w:spacing w:line="480" w:lineRule="exact"/>
        <w:ind w:firstLine="420" w:firstLineChars="200"/>
        <w:rPr>
          <w:rFonts w:hint="default" w:ascii="宋体" w:hAnsi="宋体" w:cs="宋体"/>
          <w:color w:val="FF0000"/>
          <w:szCs w:val="21"/>
          <w:lang w:val="en-US" w:eastAsia="zh-CN"/>
        </w:rPr>
      </w:pPr>
      <w:r>
        <w:rPr>
          <w:rFonts w:hint="eastAsia" w:ascii="宋体" w:hAnsi="宋体" w:cs="宋体"/>
          <w:color w:val="FF0000"/>
          <w:szCs w:val="21"/>
          <w:lang w:val="en-US" w:eastAsia="zh-CN"/>
        </w:rPr>
        <w:t>4、技术规格要求：</w:t>
      </w:r>
    </w:p>
    <w:p w14:paraId="0FDB557B">
      <w:pPr>
        <w:numPr>
          <w:ilvl w:val="0"/>
          <w:numId w:val="0"/>
        </w:numPr>
        <w:autoSpaceDE w:val="0"/>
        <w:autoSpaceDN w:val="0"/>
        <w:adjustRightInd w:val="0"/>
        <w:snapToGrid w:val="0"/>
        <w:spacing w:line="240" w:lineRule="auto"/>
        <w:ind w:left="0" w:leftChars="0" w:firstLine="0" w:firstLineChars="0"/>
        <w:jc w:val="both"/>
        <w:rPr>
          <w:rFonts w:hint="eastAsia" w:ascii="宋体" w:hAnsi="宋体" w:cs="宋体"/>
          <w:i w:val="0"/>
          <w:iCs w:val="0"/>
          <w:color w:val="000000"/>
          <w:kern w:val="0"/>
          <w:sz w:val="21"/>
          <w:szCs w:val="21"/>
          <w:u w:val="none"/>
          <w:lang w:val="en-US" w:eastAsia="zh-CN" w:bidi="ar"/>
        </w:rPr>
      </w:pPr>
      <w:r>
        <w:rPr>
          <w:rFonts w:hint="eastAsia" w:ascii="宋体" w:hAnsi="宋体" w:cs="宋体"/>
          <w:color w:val="FF0000"/>
          <w:szCs w:val="21"/>
          <w:lang w:val="en-US" w:eastAsia="zh-CN"/>
        </w:rPr>
        <w:drawing>
          <wp:anchor distT="0" distB="0" distL="114300" distR="114300" simplePos="0" relativeHeight="251660288" behindDoc="1" locked="0" layoutInCell="1" allowOverlap="1">
            <wp:simplePos x="0" y="0"/>
            <wp:positionH relativeFrom="column">
              <wp:posOffset>3192780</wp:posOffset>
            </wp:positionH>
            <wp:positionV relativeFrom="paragraph">
              <wp:posOffset>-77470</wp:posOffset>
            </wp:positionV>
            <wp:extent cx="2785745" cy="1461135"/>
            <wp:effectExtent l="0" t="0" r="14605" b="5715"/>
            <wp:wrapTight wrapText="bothSides">
              <wp:wrapPolygon>
                <wp:start x="0" y="0"/>
                <wp:lineTo x="0" y="21403"/>
                <wp:lineTo x="21418" y="21403"/>
                <wp:lineTo x="21418" y="0"/>
                <wp:lineTo x="0" y="0"/>
              </wp:wrapPolygon>
            </wp:wrapTight>
            <wp:docPr id="1" name="图片 1" descr="175438011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380114359"/>
                    <pic:cNvPicPr>
                      <a:picLocks noChangeAspect="1"/>
                    </pic:cNvPicPr>
                  </pic:nvPicPr>
                  <pic:blipFill>
                    <a:blip r:embed="rId8"/>
                    <a:stretch>
                      <a:fillRect/>
                    </a:stretch>
                  </pic:blipFill>
                  <pic:spPr>
                    <a:xfrm>
                      <a:off x="0" y="0"/>
                      <a:ext cx="2785745" cy="1461135"/>
                    </a:xfrm>
                    <a:prstGeom prst="rect">
                      <a:avLst/>
                    </a:prstGeom>
                  </pic:spPr>
                </pic:pic>
              </a:graphicData>
            </a:graphic>
          </wp:anchor>
        </w:drawing>
      </w:r>
      <w:r>
        <w:rPr>
          <w:rFonts w:hint="default" w:ascii="宋体" w:hAnsi="宋体" w:cs="宋体"/>
          <w:color w:val="FF0000"/>
          <w:szCs w:val="21"/>
          <w:lang w:val="en-US" w:eastAsia="zh-CN"/>
        </w:rPr>
        <w:drawing>
          <wp:anchor distT="0" distB="0" distL="114300" distR="114300" simplePos="0" relativeHeight="251659264" behindDoc="1" locked="0" layoutInCell="1" allowOverlap="1">
            <wp:simplePos x="0" y="0"/>
            <wp:positionH relativeFrom="column">
              <wp:posOffset>-57150</wp:posOffset>
            </wp:positionH>
            <wp:positionV relativeFrom="paragraph">
              <wp:posOffset>100965</wp:posOffset>
            </wp:positionV>
            <wp:extent cx="2924810" cy="1374140"/>
            <wp:effectExtent l="0" t="0" r="8890" b="16510"/>
            <wp:wrapTight wrapText="bothSides">
              <wp:wrapPolygon>
                <wp:start x="0" y="0"/>
                <wp:lineTo x="0" y="21261"/>
                <wp:lineTo x="21525" y="21261"/>
                <wp:lineTo x="21525" y="0"/>
                <wp:lineTo x="0" y="0"/>
              </wp:wrapPolygon>
            </wp:wrapTight>
            <wp:docPr id="2" name="图片 2" descr="175438019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4380192232"/>
                    <pic:cNvPicPr>
                      <a:picLocks noChangeAspect="1"/>
                    </pic:cNvPicPr>
                  </pic:nvPicPr>
                  <pic:blipFill>
                    <a:blip r:embed="rId9"/>
                    <a:stretch>
                      <a:fillRect/>
                    </a:stretch>
                  </pic:blipFill>
                  <pic:spPr>
                    <a:xfrm>
                      <a:off x="0" y="0"/>
                      <a:ext cx="2924810" cy="1374140"/>
                    </a:xfrm>
                    <a:prstGeom prst="rect">
                      <a:avLst/>
                    </a:prstGeom>
                  </pic:spPr>
                </pic:pic>
              </a:graphicData>
            </a:graphic>
          </wp:anchor>
        </w:drawing>
      </w:r>
      <w:r>
        <w:rPr>
          <w:rFonts w:hint="eastAsia" w:ascii="宋体" w:hAnsi="宋体" w:cs="宋体"/>
          <w:i w:val="0"/>
          <w:iCs w:val="0"/>
          <w:color w:val="000000"/>
          <w:kern w:val="0"/>
          <w:sz w:val="21"/>
          <w:szCs w:val="21"/>
          <w:u w:val="none"/>
          <w:lang w:val="en-US" w:eastAsia="zh-CN" w:bidi="ar"/>
        </w:rPr>
        <w:t xml:space="preserve">               </w:t>
      </w:r>
    </w:p>
    <w:p w14:paraId="247EE362">
      <w:pPr>
        <w:numPr>
          <w:ilvl w:val="0"/>
          <w:numId w:val="0"/>
        </w:numPr>
        <w:autoSpaceDE w:val="0"/>
        <w:autoSpaceDN w:val="0"/>
        <w:adjustRightInd w:val="0"/>
        <w:snapToGrid w:val="0"/>
        <w:spacing w:line="240" w:lineRule="auto"/>
        <w:ind w:left="0" w:leftChars="0" w:firstLine="0" w:firstLineChars="0"/>
        <w:jc w:val="both"/>
        <w:rPr>
          <w:rFonts w:hint="eastAsia" w:ascii="宋体" w:hAnsi="宋体"/>
          <w:color w:val="FF0000"/>
          <w:szCs w:val="21"/>
          <w:lang w:val="en-US" w:eastAsia="zh-CN"/>
        </w:rPr>
      </w:pPr>
      <w:r>
        <w:rPr>
          <w:rFonts w:hint="eastAsia" w:ascii="宋体" w:hAnsi="宋体" w:cs="宋体"/>
          <w:color w:val="FF0000"/>
          <w:szCs w:val="21"/>
          <w:lang w:val="en-US" w:eastAsia="zh-CN"/>
        </w:rPr>
        <w:t xml:space="preserve">           </w:t>
      </w:r>
      <w:r>
        <w:rPr>
          <w:rFonts w:hint="eastAsia" w:ascii="宋体" w:hAnsi="宋体" w:cs="宋体"/>
          <w:color w:val="auto"/>
          <w:szCs w:val="21"/>
          <w:lang w:val="en-US" w:eastAsia="zh-CN"/>
        </w:rPr>
        <w:t xml:space="preserve">     图1</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图2 </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BF5298">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5953615E">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投标价格为材料送达招标方指定地点的价格，</w:t>
      </w:r>
      <w:r>
        <w:rPr>
          <w:rFonts w:hint="eastAsia" w:ascii="宋体" w:hAnsi="宋体"/>
          <w:color w:val="FF0000"/>
          <w:szCs w:val="21"/>
          <w:lang w:val="en-US" w:eastAsia="zh-CN"/>
        </w:rPr>
        <w:t>报价含运费、卸货费用，</w:t>
      </w:r>
      <w:r>
        <w:rPr>
          <w:rFonts w:hint="eastAsia" w:ascii="宋体" w:hAnsi="宋体"/>
          <w:szCs w:val="21"/>
          <w:lang w:val="en-US" w:eastAsia="zh-CN"/>
        </w:rPr>
        <w:t>须提供投标书及报价清单</w:t>
      </w:r>
      <w:r>
        <w:rPr>
          <w:rFonts w:hint="eastAsia" w:ascii="宋体" w:hAnsi="宋体"/>
          <w:szCs w:val="21"/>
        </w:rPr>
        <w:t>。</w:t>
      </w:r>
    </w:p>
    <w:p w14:paraId="77150B3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2CC5AE1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55A40178">
      <w:pPr>
        <w:pStyle w:val="19"/>
        <w:spacing w:before="0" w:beforeAutospacing="0" w:after="0" w:afterAutospacing="0"/>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 xml:space="preserve"> 5、投标单位须提供1份近3年石材材料供货业绩（合同金额70万元及以上），提供合同复印件加盖公章。</w:t>
      </w:r>
    </w:p>
    <w:p w14:paraId="40CD30AA">
      <w:pPr>
        <w:autoSpaceDE w:val="0"/>
        <w:autoSpaceDN w:val="0"/>
        <w:adjustRightInd w:val="0"/>
        <w:snapToGrid w:val="0"/>
        <w:spacing w:beforeAutospacing="0"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64C2FC4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7</w:t>
      </w:r>
      <w:r>
        <w:rPr>
          <w:rFonts w:hint="eastAsia" w:ascii="宋体" w:hAnsi="宋体"/>
          <w:szCs w:val="21"/>
        </w:rPr>
        <w:t>、包装要求：</w:t>
      </w:r>
    </w:p>
    <w:p w14:paraId="7FECAD8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0BC7B1D">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1、招标人将向中标单位发出中标通知书，并同时通知其他投标人。中标通知书将成为合同的组成部分。</w:t>
      </w:r>
    </w:p>
    <w:p w14:paraId="3CDAD7A0">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 xml:space="preserve">2、中标单位收到中标通知书后，应在7日内与招标人签订合同。中标人不与招标人订立合同的，招标人有权取消其中标资格，由此给招标人造成的损失，应予以赔偿。 </w:t>
      </w:r>
    </w:p>
    <w:p w14:paraId="59BC9574">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3、招标人与中标人将根据《中华人民共和国民法典》的规定，依据招标文件和投标文件签订书面合同。</w:t>
      </w:r>
    </w:p>
    <w:p w14:paraId="2403B81D">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w:t>
      </w:r>
      <w:r>
        <w:rPr>
          <w:rFonts w:hint="eastAsia" w:ascii="宋体" w:hAnsi="宋体"/>
          <w:color w:val="FF0000"/>
          <w:szCs w:val="21"/>
          <w:lang w:eastAsia="zh-CN"/>
        </w:rPr>
        <w:t>、</w:t>
      </w:r>
      <w:r>
        <w:rPr>
          <w:rFonts w:hint="eastAsia" w:ascii="宋体" w:hAnsi="宋体"/>
          <w:color w:val="FF0000"/>
          <w:szCs w:val="21"/>
          <w:lang w:val="en-US" w:eastAsia="zh-CN"/>
        </w:rPr>
        <w:t>卸货费用</w:t>
      </w:r>
      <w:r>
        <w:rPr>
          <w:rFonts w:hint="eastAsia" w:ascii="宋体" w:hAnsi="宋体"/>
          <w:color w:val="FF0000"/>
          <w:szCs w:val="21"/>
        </w:rPr>
        <w:t>）、供货时间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货到工地经验收检测合格后分批次付至货款的50%（不超过合同价的50%），工程竣工验收合格后付至实际供货款70%（不超过合同价的70%），工程审计结束后付至实际供货款的97%，二年质保期满后，付清尾款（无息）。</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311FD649">
      <w:pPr>
        <w:pStyle w:val="20"/>
        <w:rPr>
          <w:rFonts w:hint="eastAsia"/>
        </w:rPr>
      </w:pPr>
    </w:p>
    <w:p w14:paraId="5AF168D6">
      <w:pPr>
        <w:pStyle w:val="20"/>
        <w:rPr>
          <w:rFonts w:hint="eastAsia"/>
        </w:rPr>
      </w:pPr>
    </w:p>
    <w:p w14:paraId="2A0E5AF6">
      <w:pPr>
        <w:pStyle w:val="20"/>
        <w:rPr>
          <w:rFonts w:hint="eastAsia"/>
        </w:rPr>
      </w:pPr>
    </w:p>
    <w:p w14:paraId="6409A77E">
      <w:pPr>
        <w:pStyle w:val="20"/>
        <w:rPr>
          <w:rFonts w:hint="eastAsia"/>
        </w:rPr>
      </w:pPr>
    </w:p>
    <w:p w14:paraId="547A8808">
      <w:pPr>
        <w:pStyle w:val="20"/>
        <w:rPr>
          <w:rFonts w:hint="eastAsia"/>
        </w:rPr>
      </w:pPr>
    </w:p>
    <w:p w14:paraId="5A366059">
      <w:pPr>
        <w:pStyle w:val="20"/>
        <w:rPr>
          <w:rFonts w:hint="eastAsia"/>
        </w:rPr>
      </w:pPr>
    </w:p>
    <w:p w14:paraId="698BE71B">
      <w:pPr>
        <w:pStyle w:val="20"/>
        <w:rPr>
          <w:rFonts w:hint="eastAsia"/>
        </w:rPr>
      </w:pPr>
    </w:p>
    <w:p w14:paraId="450ED4A6">
      <w:pPr>
        <w:pStyle w:val="20"/>
        <w:rPr>
          <w:rFonts w:hint="eastAsia"/>
        </w:rPr>
      </w:pPr>
    </w:p>
    <w:p w14:paraId="38563ED1">
      <w:pPr>
        <w:pStyle w:val="20"/>
        <w:rPr>
          <w:rFonts w:hint="eastAsia"/>
        </w:rPr>
      </w:pPr>
    </w:p>
    <w:p w14:paraId="205A56FD">
      <w:pPr>
        <w:pStyle w:val="20"/>
        <w:rPr>
          <w:rFonts w:hint="eastAsia"/>
        </w:rPr>
      </w:pPr>
    </w:p>
    <w:p w14:paraId="1910EE6F">
      <w:pPr>
        <w:pStyle w:val="20"/>
        <w:rPr>
          <w:rFonts w:hint="eastAsia"/>
        </w:rPr>
      </w:pPr>
    </w:p>
    <w:p w14:paraId="07915AB6">
      <w:pPr>
        <w:pStyle w:val="20"/>
        <w:rPr>
          <w:rFonts w:hint="eastAsia"/>
        </w:rPr>
      </w:pPr>
    </w:p>
    <w:p w14:paraId="6654C0F5">
      <w:pPr>
        <w:pStyle w:val="20"/>
        <w:rPr>
          <w:rFonts w:hint="eastAsia"/>
        </w:rPr>
      </w:pPr>
    </w:p>
    <w:p w14:paraId="51F20253">
      <w:pPr>
        <w:pStyle w:val="20"/>
        <w:rPr>
          <w:rFonts w:hint="eastAsia"/>
        </w:rPr>
      </w:pPr>
    </w:p>
    <w:p w14:paraId="67FA4E3F">
      <w:pPr>
        <w:pStyle w:val="20"/>
        <w:rPr>
          <w:rFonts w:hint="eastAsia"/>
        </w:rPr>
      </w:pPr>
    </w:p>
    <w:p w14:paraId="7F5ED7FC">
      <w:pPr>
        <w:pStyle w:val="20"/>
        <w:rPr>
          <w:rFonts w:hint="eastAsia"/>
        </w:rPr>
      </w:pPr>
    </w:p>
    <w:p w14:paraId="76FCC84F">
      <w:pPr>
        <w:pStyle w:val="20"/>
        <w:rPr>
          <w:rFonts w:hint="eastAsia"/>
        </w:rPr>
      </w:pPr>
    </w:p>
    <w:p w14:paraId="7DB5D22D">
      <w:pPr>
        <w:pStyle w:val="20"/>
        <w:rPr>
          <w:rFonts w:hint="eastAsia"/>
        </w:rPr>
      </w:pPr>
    </w:p>
    <w:p w14:paraId="2FED60E8">
      <w:pPr>
        <w:pStyle w:val="20"/>
        <w:rPr>
          <w:rFonts w:hint="eastAsia"/>
        </w:rPr>
      </w:pPr>
    </w:p>
    <w:p w14:paraId="117F5888">
      <w:pPr>
        <w:pStyle w:val="20"/>
        <w:rPr>
          <w:rFonts w:hint="eastAsia"/>
        </w:rPr>
      </w:pPr>
    </w:p>
    <w:p w14:paraId="7A4A6498">
      <w:pPr>
        <w:pStyle w:val="20"/>
        <w:rPr>
          <w:rFonts w:hint="eastAsia"/>
        </w:rPr>
      </w:pPr>
    </w:p>
    <w:p w14:paraId="4101596B">
      <w:pPr>
        <w:pStyle w:val="20"/>
        <w:rPr>
          <w:rFonts w:hint="eastAsia"/>
        </w:rPr>
      </w:pPr>
    </w:p>
    <w:p w14:paraId="6DE02A39">
      <w:pPr>
        <w:pStyle w:val="20"/>
        <w:rPr>
          <w:rFonts w:hint="eastAsia"/>
        </w:rPr>
      </w:pPr>
    </w:p>
    <w:p w14:paraId="6794F007">
      <w:pPr>
        <w:pStyle w:val="20"/>
        <w:rPr>
          <w:rFonts w:hint="eastAsia"/>
        </w:rPr>
      </w:pPr>
    </w:p>
    <w:p w14:paraId="316DD38E">
      <w:pPr>
        <w:pStyle w:val="20"/>
        <w:rPr>
          <w:rFonts w:hint="eastAsia"/>
        </w:rPr>
      </w:pPr>
    </w:p>
    <w:p w14:paraId="15341097">
      <w:pPr>
        <w:pStyle w:val="20"/>
        <w:rPr>
          <w:rFonts w:hint="eastAsia"/>
        </w:rPr>
      </w:pPr>
    </w:p>
    <w:p w14:paraId="1E5F5E9D">
      <w:pPr>
        <w:pStyle w:val="20"/>
        <w:rPr>
          <w:rFonts w:hint="eastAsia"/>
        </w:rPr>
      </w:pPr>
    </w:p>
    <w:p w14:paraId="6E616777">
      <w:pPr>
        <w:pStyle w:val="20"/>
        <w:rPr>
          <w:rFonts w:hint="eastAsia"/>
        </w:rPr>
      </w:pPr>
    </w:p>
    <w:p w14:paraId="1DDE009A">
      <w:pPr>
        <w:pStyle w:val="20"/>
        <w:rPr>
          <w:rFonts w:hint="eastAsia"/>
        </w:rPr>
      </w:pPr>
    </w:p>
    <w:p w14:paraId="1578483F">
      <w:pPr>
        <w:pStyle w:val="20"/>
        <w:rPr>
          <w:rFonts w:hint="eastAsia"/>
        </w:rPr>
      </w:pPr>
    </w:p>
    <w:p w14:paraId="54AAC6BE">
      <w:pPr>
        <w:pStyle w:val="20"/>
        <w:rPr>
          <w:rFonts w:hint="eastAsia"/>
        </w:rPr>
      </w:pPr>
    </w:p>
    <w:p w14:paraId="74522824">
      <w:pPr>
        <w:pStyle w:val="20"/>
        <w:rPr>
          <w:rFonts w:hint="eastAsia"/>
        </w:rPr>
      </w:pPr>
    </w:p>
    <w:p w14:paraId="4B1F9BD5">
      <w:pPr>
        <w:pStyle w:val="20"/>
        <w:rPr>
          <w:rFonts w:hint="eastAsia"/>
        </w:rPr>
      </w:pPr>
    </w:p>
    <w:p w14:paraId="28664B00">
      <w:pPr>
        <w:pStyle w:val="20"/>
        <w:rPr>
          <w:rFonts w:hint="eastAsia"/>
        </w:rPr>
      </w:pPr>
    </w:p>
    <w:p w14:paraId="273AA436">
      <w:pPr>
        <w:pStyle w:val="20"/>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19"/>
        <w:rPr>
          <w:rFonts w:hint="eastAsia"/>
          <w:lang w:eastAsia="zh-CN"/>
        </w:rPr>
      </w:pPr>
    </w:p>
    <w:p w14:paraId="22FFDF3C">
      <w:pPr>
        <w:pStyle w:val="20"/>
        <w:rPr>
          <w:rFonts w:hint="eastAsia"/>
          <w:lang w:eastAsia="zh-CN"/>
        </w:rPr>
      </w:pPr>
    </w:p>
    <w:p w14:paraId="7BEAE75C">
      <w:pPr>
        <w:jc w:val="center"/>
        <w:outlineLvl w:val="0"/>
        <w:rPr>
          <w:rFonts w:hint="eastAsia" w:ascii="宋体" w:hAnsi="宋体" w:eastAsia="宋体" w:cs="Times New Roman"/>
          <w:b/>
          <w:sz w:val="44"/>
          <w:szCs w:val="44"/>
          <w:lang w:eastAsia="zh-CN"/>
        </w:rPr>
      </w:pPr>
      <w:bookmarkStart w:id="2" w:name="_GoBack"/>
      <w:r>
        <w:rPr>
          <w:rFonts w:hint="eastAsia" w:ascii="宋体" w:hAnsi="宋体" w:eastAsia="宋体" w:cs="Times New Roman"/>
          <w:b/>
          <w:sz w:val="44"/>
          <w:szCs w:val="44"/>
          <w:lang w:eastAsia="zh-CN"/>
        </w:rPr>
        <w:t>投</w:t>
      </w:r>
    </w:p>
    <w:bookmarkEnd w:id="2"/>
    <w:p w14:paraId="565F363F">
      <w:pPr>
        <w:pStyle w:val="19"/>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19"/>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19"/>
        <w:rPr>
          <w:rFonts w:hint="eastAsia"/>
        </w:rPr>
      </w:pPr>
    </w:p>
    <w:p w14:paraId="4C59DDD4">
      <w:pPr>
        <w:pStyle w:val="2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货到工地经验收检测合格后分批次付至货款的50%（不超过合同价的50%），工程竣工验收合格后付至实际供货款70%（不超过合同价的70%），工程审计结束后付至实际供货款的97%，二年质保期满后，付清尾款（无息）。</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14A94C64">
      <w:pPr>
        <w:pStyle w:val="29"/>
        <w:numPr>
          <w:ilvl w:val="0"/>
          <w:numId w:val="0"/>
        </w:numPr>
        <w:spacing w:line="640" w:lineRule="exact"/>
        <w:ind w:firstLine="480" w:firstLineChars="200"/>
        <w:rPr>
          <w:rFonts w:hint="default"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4、乙方提供石材样品经过建设单位认可的第三方检测单位检测，并出具相关报告。若乙方样品进行验收检测后判定为不合格，甲方有权要求乙方在 3个工作日内重新提供样品或对原样品进行整改。复检费用（包括但不限于检测费、人工费、材料损耗费等）由乙方承担。若复检仍不合格，甲方有权终止本合同，并要求乙方承担由此产生的全部损失（包括直接损失及间接损失）。</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p w14:paraId="1ADFE595">
      <w:pPr>
        <w:spacing w:line="360" w:lineRule="auto"/>
        <w:jc w:val="both"/>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4C5EA02C">
      <w:pPr>
        <w:pStyle w:val="4"/>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63694A-8E31-423A-8168-54DA096AF265}"/>
  </w:font>
  <w:font w:name="黑体">
    <w:panose1 w:val="02010609060101010101"/>
    <w:charset w:val="86"/>
    <w:family w:val="auto"/>
    <w:pitch w:val="default"/>
    <w:sig w:usb0="800002BF" w:usb1="38CF7CFA" w:usb2="00000016" w:usb3="00000000" w:csb0="00040001" w:csb1="00000000"/>
    <w:embedRegular r:id="rId2" w:fontKey="{B59F4A00-B01C-41FF-A45E-37E6D6B653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AAFC517-CB13-4DC1-ABF0-7469A1D22D37}"/>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AAA2F876-6D80-461A-982D-34D9BC5430E4}"/>
  </w:font>
  <w:font w:name="楷体_GB2312">
    <w:panose1 w:val="02010609030101010101"/>
    <w:charset w:val="86"/>
    <w:family w:val="modern"/>
    <w:pitch w:val="default"/>
    <w:sig w:usb0="00000001" w:usb1="080E0000" w:usb2="00000000" w:usb3="00000000" w:csb0="00040000" w:csb1="00000000"/>
    <w:embedRegular r:id="rId5" w:fontKey="{153CD397-042B-43C7-947A-734CCF0548F8}"/>
  </w:font>
  <w:font w:name="方正小标宋_GBK">
    <w:panose1 w:val="03000509000000000000"/>
    <w:charset w:val="86"/>
    <w:family w:val="auto"/>
    <w:pitch w:val="default"/>
    <w:sig w:usb0="00000001" w:usb1="080E0000" w:usb2="00000000" w:usb3="00000000" w:csb0="00040000" w:csb1="00000000"/>
    <w:embedRegular r:id="rId6" w:fontKey="{E856FF8E-C6FC-479F-B697-BC19B28B97E0}"/>
  </w:font>
  <w:font w:name="方正仿宋_GBK">
    <w:panose1 w:val="03000509000000000000"/>
    <w:charset w:val="86"/>
    <w:family w:val="auto"/>
    <w:pitch w:val="default"/>
    <w:sig w:usb0="00000001" w:usb1="080E0000" w:usb2="00000000" w:usb3="00000000" w:csb0="00040000" w:csb1="00000000"/>
    <w:embedRegular r:id="rId7" w:fontKey="{2E14AA37-8F3D-4B22-A9AB-88E838A5BC3D}"/>
  </w:font>
  <w:font w:name="仿宋">
    <w:panose1 w:val="02010609060101010101"/>
    <w:charset w:val="86"/>
    <w:family w:val="auto"/>
    <w:pitch w:val="default"/>
    <w:sig w:usb0="800002BF" w:usb1="38CF7CFA" w:usb2="00000016" w:usb3="00000000" w:csb0="00040001" w:csb1="00000000"/>
    <w:embedRegular r:id="rId8" w:fontKey="{566218D9-2092-4AF9-B228-A7B59CEFB5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A7705C"/>
    <w:rsid w:val="03C76963"/>
    <w:rsid w:val="04506958"/>
    <w:rsid w:val="04ED064B"/>
    <w:rsid w:val="04F33787"/>
    <w:rsid w:val="05235BBF"/>
    <w:rsid w:val="05616943"/>
    <w:rsid w:val="057A6F83"/>
    <w:rsid w:val="06574153"/>
    <w:rsid w:val="07B132EE"/>
    <w:rsid w:val="08971538"/>
    <w:rsid w:val="09A23D87"/>
    <w:rsid w:val="0A045C92"/>
    <w:rsid w:val="0C006D9B"/>
    <w:rsid w:val="0C391C75"/>
    <w:rsid w:val="0C460641"/>
    <w:rsid w:val="0D046532"/>
    <w:rsid w:val="0D9773A6"/>
    <w:rsid w:val="0E5A3EAC"/>
    <w:rsid w:val="105E328D"/>
    <w:rsid w:val="106B52EF"/>
    <w:rsid w:val="10E46038"/>
    <w:rsid w:val="115F642C"/>
    <w:rsid w:val="118916FB"/>
    <w:rsid w:val="119357E0"/>
    <w:rsid w:val="11DD6CEC"/>
    <w:rsid w:val="122657AD"/>
    <w:rsid w:val="12AD1419"/>
    <w:rsid w:val="12EA5FE1"/>
    <w:rsid w:val="13141EF4"/>
    <w:rsid w:val="137837D5"/>
    <w:rsid w:val="153951E6"/>
    <w:rsid w:val="158F2D02"/>
    <w:rsid w:val="16924BAE"/>
    <w:rsid w:val="16D64DEC"/>
    <w:rsid w:val="1748310D"/>
    <w:rsid w:val="17AA4179"/>
    <w:rsid w:val="18282018"/>
    <w:rsid w:val="192D0BBE"/>
    <w:rsid w:val="1A1F0E4F"/>
    <w:rsid w:val="1A933FAF"/>
    <w:rsid w:val="1B0D6EF9"/>
    <w:rsid w:val="1B32070E"/>
    <w:rsid w:val="1B441F92"/>
    <w:rsid w:val="1B863EE4"/>
    <w:rsid w:val="1BC96078"/>
    <w:rsid w:val="1D524DB7"/>
    <w:rsid w:val="1E4B2C37"/>
    <w:rsid w:val="1E6225BB"/>
    <w:rsid w:val="1EA31154"/>
    <w:rsid w:val="1EC21A64"/>
    <w:rsid w:val="1EC92A20"/>
    <w:rsid w:val="1F0E4671"/>
    <w:rsid w:val="1F57127E"/>
    <w:rsid w:val="206C021E"/>
    <w:rsid w:val="20A951E7"/>
    <w:rsid w:val="20CA13E8"/>
    <w:rsid w:val="223A588B"/>
    <w:rsid w:val="226D193C"/>
    <w:rsid w:val="227D128F"/>
    <w:rsid w:val="22E23D79"/>
    <w:rsid w:val="23A016EC"/>
    <w:rsid w:val="23BA1CE9"/>
    <w:rsid w:val="23D26B89"/>
    <w:rsid w:val="260C121F"/>
    <w:rsid w:val="26BA2DC8"/>
    <w:rsid w:val="26E30BFE"/>
    <w:rsid w:val="286931F8"/>
    <w:rsid w:val="28994243"/>
    <w:rsid w:val="28D14083"/>
    <w:rsid w:val="28E66D39"/>
    <w:rsid w:val="2B4431B2"/>
    <w:rsid w:val="2CA37518"/>
    <w:rsid w:val="2FFE5B53"/>
    <w:rsid w:val="316D029A"/>
    <w:rsid w:val="31A368A5"/>
    <w:rsid w:val="31E452E9"/>
    <w:rsid w:val="31F0483A"/>
    <w:rsid w:val="3220530C"/>
    <w:rsid w:val="32CA33D5"/>
    <w:rsid w:val="32E43D91"/>
    <w:rsid w:val="33976056"/>
    <w:rsid w:val="34804ED0"/>
    <w:rsid w:val="34EC7159"/>
    <w:rsid w:val="377C1237"/>
    <w:rsid w:val="37AF7C77"/>
    <w:rsid w:val="3B223EA3"/>
    <w:rsid w:val="3B257EFE"/>
    <w:rsid w:val="3C646ABC"/>
    <w:rsid w:val="3C691FB0"/>
    <w:rsid w:val="3CA8662A"/>
    <w:rsid w:val="3D1E68EC"/>
    <w:rsid w:val="3F8E7211"/>
    <w:rsid w:val="3FF839D9"/>
    <w:rsid w:val="40321424"/>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344B2F"/>
    <w:rsid w:val="4FE34DE9"/>
    <w:rsid w:val="506F063F"/>
    <w:rsid w:val="50B6349B"/>
    <w:rsid w:val="50D92A99"/>
    <w:rsid w:val="511B5891"/>
    <w:rsid w:val="513F3A5E"/>
    <w:rsid w:val="516A7EFA"/>
    <w:rsid w:val="523634E2"/>
    <w:rsid w:val="53361833"/>
    <w:rsid w:val="53A92F5C"/>
    <w:rsid w:val="563034C0"/>
    <w:rsid w:val="56A8222D"/>
    <w:rsid w:val="56D62531"/>
    <w:rsid w:val="571E1031"/>
    <w:rsid w:val="5731653C"/>
    <w:rsid w:val="57AD28EF"/>
    <w:rsid w:val="58A65CBC"/>
    <w:rsid w:val="58D6764A"/>
    <w:rsid w:val="59627495"/>
    <w:rsid w:val="59B57910"/>
    <w:rsid w:val="59D52356"/>
    <w:rsid w:val="5D582E82"/>
    <w:rsid w:val="5E445D2E"/>
    <w:rsid w:val="5EBD524E"/>
    <w:rsid w:val="5F795ED8"/>
    <w:rsid w:val="62397BA1"/>
    <w:rsid w:val="6279082B"/>
    <w:rsid w:val="62C31218"/>
    <w:rsid w:val="6370314E"/>
    <w:rsid w:val="64747F00"/>
    <w:rsid w:val="64FD6B36"/>
    <w:rsid w:val="65EB0E69"/>
    <w:rsid w:val="66746855"/>
    <w:rsid w:val="667F60B7"/>
    <w:rsid w:val="66A870A3"/>
    <w:rsid w:val="66F35A29"/>
    <w:rsid w:val="678F10BD"/>
    <w:rsid w:val="68537464"/>
    <w:rsid w:val="68C57F09"/>
    <w:rsid w:val="6BBB4685"/>
    <w:rsid w:val="6CF272CA"/>
    <w:rsid w:val="6D0131CD"/>
    <w:rsid w:val="6D016897"/>
    <w:rsid w:val="6D116F45"/>
    <w:rsid w:val="6EC33740"/>
    <w:rsid w:val="6EE658EC"/>
    <w:rsid w:val="6F6E06C9"/>
    <w:rsid w:val="6FA2234A"/>
    <w:rsid w:val="6FC00FB9"/>
    <w:rsid w:val="6FD30157"/>
    <w:rsid w:val="711D243B"/>
    <w:rsid w:val="715916C6"/>
    <w:rsid w:val="726C5429"/>
    <w:rsid w:val="749018A2"/>
    <w:rsid w:val="74E70861"/>
    <w:rsid w:val="75F0011F"/>
    <w:rsid w:val="7686731E"/>
    <w:rsid w:val="778C2829"/>
    <w:rsid w:val="77D7083D"/>
    <w:rsid w:val="77E9764D"/>
    <w:rsid w:val="78135BBF"/>
    <w:rsid w:val="78387804"/>
    <w:rsid w:val="7A546ECE"/>
    <w:rsid w:val="7AA15E8B"/>
    <w:rsid w:val="7AB53611"/>
    <w:rsid w:val="7B646DB9"/>
    <w:rsid w:val="7B8F57A7"/>
    <w:rsid w:val="7C727ADF"/>
    <w:rsid w:val="7CCA4BCF"/>
    <w:rsid w:val="7D2A660C"/>
    <w:rsid w:val="7D8E26F7"/>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1">
    <w:name w:val="页眉 Char"/>
    <w:link w:val="11"/>
    <w:qFormat/>
    <w:uiPriority w:val="0"/>
    <w:rPr>
      <w:kern w:val="2"/>
      <w:sz w:val="18"/>
      <w:szCs w:val="18"/>
    </w:rPr>
  </w:style>
  <w:style w:type="character" w:customStyle="1" w:styleId="22">
    <w:name w:val="页脚 Char"/>
    <w:link w:val="10"/>
    <w:qFormat/>
    <w:uiPriority w:val="0"/>
    <w:rPr>
      <w:kern w:val="2"/>
      <w:sz w:val="18"/>
      <w:szCs w:val="18"/>
    </w:rPr>
  </w:style>
  <w:style w:type="character" w:customStyle="1" w:styleId="23">
    <w:name w:val="正文文本缩进 Char"/>
    <w:link w:val="5"/>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 w:type="character" w:customStyle="1" w:styleId="30">
    <w:name w:val="font11"/>
    <w:basedOn w:val="18"/>
    <w:qFormat/>
    <w:uiPriority w:val="0"/>
    <w:rPr>
      <w:rFonts w:hint="eastAsia" w:ascii="宋体" w:hAnsi="宋体" w:eastAsia="宋体" w:cs="宋体"/>
      <w:color w:val="000000"/>
      <w:sz w:val="21"/>
      <w:szCs w:val="21"/>
      <w:u w:val="none"/>
    </w:rPr>
  </w:style>
  <w:style w:type="character" w:customStyle="1" w:styleId="31">
    <w:name w:val="font21"/>
    <w:basedOn w:val="1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3083</Words>
  <Characters>3357</Characters>
  <Lines>30</Lines>
  <Paragraphs>8</Paragraphs>
  <TotalTime>1370</TotalTime>
  <ScaleCrop>false</ScaleCrop>
  <LinksUpToDate>false</LinksUpToDate>
  <CharactersWithSpaces>3516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顾涛</cp:lastModifiedBy>
  <cp:lastPrinted>2025-08-26T02:06:31Z</cp:lastPrinted>
  <dcterms:modified xsi:type="dcterms:W3CDTF">2025-08-26T02:08:27Z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BC45F49CE6374AD093D543CCF61E5777_13</vt:lpwstr>
  </property>
  <property fmtid="{D5CDD505-2E9C-101B-9397-08002B2CF9AE}" pid="4" name="KSOTemplateDocerSaveRecord">
    <vt:lpwstr>eyJoZGlkIjoiYjEzZTUzZjQ1Zjg1YTM4NTExY2YzM2E3ZWM2M2JhNTYiLCJ1c2VySWQiOiIxNjQ1Mzc3MjM2In0=</vt:lpwstr>
  </property>
</Properties>
</file>