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lang w:eastAsia="zh-CN"/>
        </w:rPr>
      </w:pPr>
      <w:r>
        <w:rPr>
          <w:rFonts w:hint="eastAsia" w:ascii="仿宋_GB2312" w:hAnsi="宋体" w:eastAsia="仿宋_GB2312"/>
          <w:b/>
          <w:spacing w:val="28"/>
          <w:sz w:val="52"/>
          <w:szCs w:val="48"/>
          <w:lang w:eastAsia="zh-CN"/>
        </w:rPr>
        <w:t>扬州市上善建设工程有限公司</w:t>
      </w:r>
    </w:p>
    <w:p w14:paraId="0E078E83">
      <w:pPr>
        <w:rPr>
          <w:rFonts w:hint="eastAsia"/>
        </w:rPr>
      </w:pPr>
    </w:p>
    <w:p w14:paraId="559A1282">
      <w:pPr>
        <w:jc w:val="center"/>
        <w:rPr>
          <w:rFonts w:hint="default" w:ascii="仿宋_GB2312" w:hAnsi="宋体" w:eastAsia="仿宋_GB2312"/>
          <w:b/>
          <w:color w:val="000000" w:themeColor="text1"/>
          <w:spacing w:val="28"/>
          <w:sz w:val="52"/>
          <w:szCs w:val="48"/>
          <w:lang w:val="en-US" w:eastAsia="zh-CN"/>
          <w14:textFill>
            <w14:solidFill>
              <w14:schemeClr w14:val="tx1"/>
            </w14:solidFill>
          </w14:textFill>
        </w:rPr>
      </w:pPr>
      <w:r>
        <w:rPr>
          <w:rFonts w:hint="default" w:ascii="仿宋_GB2312" w:hAnsi="宋体" w:eastAsia="仿宋_GB2312"/>
          <w:b/>
          <w:color w:val="000000" w:themeColor="text1"/>
          <w:spacing w:val="28"/>
          <w:sz w:val="52"/>
          <w:szCs w:val="48"/>
          <w:lang w:val="en-US" w:eastAsia="zh-CN"/>
          <w14:textFill>
            <w14:solidFill>
              <w14:schemeClr w14:val="tx1"/>
            </w14:solidFill>
          </w14:textFill>
        </w:rPr>
        <w:t>扬州第四水厂门头改造及绿化提升工程</w:t>
      </w:r>
    </w:p>
    <w:p w14:paraId="42829795">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default" w:ascii="仿宋_GB2312" w:hAnsi="宋体" w:eastAsia="仿宋_GB2312"/>
          <w:b/>
          <w:color w:val="000000" w:themeColor="text1"/>
          <w:spacing w:val="28"/>
          <w:sz w:val="52"/>
          <w:szCs w:val="48"/>
          <w:lang w:val="en-US" w:eastAsia="zh-CN"/>
          <w14:textFill>
            <w14:solidFill>
              <w14:schemeClr w14:val="tx1"/>
            </w14:solidFill>
          </w14:textFill>
        </w:rPr>
        <w:t>苗木材料采购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eastAsia" w:ascii="仿宋_GB2312" w:hAnsi="宋体" w:eastAsia="仿宋_GB2312"/>
          <w:b/>
          <w:bCs/>
          <w:snapToGrid w:val="0"/>
          <w:color w:val="000000" w:themeColor="text1"/>
          <w:sz w:val="28"/>
          <w:lang w:val="en-US" w:eastAsia="zh-CN"/>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5</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23</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扬州第四水厂门头改造及绿化提升工程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日至202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25</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w:t>
            </w:r>
            <w:r>
              <w:rPr>
                <w:rFonts w:hint="eastAsia" w:ascii="宋体" w:hAnsi="宋体"/>
                <w:color w:val="000000" w:themeColor="text1"/>
                <w:szCs w:val="21"/>
                <w:lang w:eastAsia="zh-CN"/>
                <w14:textFill>
                  <w14:solidFill>
                    <w14:schemeClr w14:val="tx1"/>
                  </w14:solidFill>
                </w14:textFill>
              </w:rPr>
              <w:t>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扬州第四水厂门头改造及绿化提升工程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采购一批苗木材料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ascii="宋体" w:hAnsi="宋体"/>
          <w:b/>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szCs w:val="21"/>
          <w:lang w:val="en-US" w:eastAsia="zh-CN"/>
        </w:rPr>
        <w:t>扬州第四水厂门头改造及绿化提升工程</w:t>
      </w:r>
    </w:p>
    <w:tbl>
      <w:tblPr>
        <w:tblStyle w:val="16"/>
        <w:tblW w:w="9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2755"/>
        <w:gridCol w:w="1209"/>
        <w:gridCol w:w="803"/>
        <w:gridCol w:w="938"/>
        <w:gridCol w:w="953"/>
        <w:gridCol w:w="1127"/>
        <w:gridCol w:w="1006"/>
      </w:tblGrid>
      <w:tr w14:paraId="6437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8B4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序号</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2A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材料名称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8DA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01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48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数量</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5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免</w:t>
            </w:r>
            <w:r>
              <w:rPr>
                <w:color w:val="000000" w:themeColor="text1"/>
                <w14:textFill>
                  <w14:solidFill>
                    <w14:schemeClr w14:val="tx1"/>
                  </w14:solidFill>
                </w14:textFill>
              </w:rPr>
              <w:t>税）</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B35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eastAsia"/>
                <w:color w:val="000000" w:themeColor="text1"/>
                <w:lang w:val="en-US" w:eastAsia="zh-CN"/>
                <w14:textFill>
                  <w14:solidFill>
                    <w14:schemeClr w14:val="tx1"/>
                  </w14:solidFill>
                </w14:textFill>
              </w:rPr>
              <w:t>总价（</w:t>
            </w:r>
            <w:r>
              <w:rPr>
                <w:rFonts w:hint="eastAsia"/>
                <w:color w:val="000000" w:themeColor="text1"/>
                <w:lang w:eastAsia="zh-CN"/>
                <w14:textFill>
                  <w14:solidFill>
                    <w14:schemeClr w14:val="tx1"/>
                  </w14:solidFill>
                </w14:textFill>
              </w:rPr>
              <w:t>免</w:t>
            </w:r>
            <w:r>
              <w:rPr>
                <w:color w:val="000000" w:themeColor="text1"/>
                <w14:textFill>
                  <w14:solidFill>
                    <w14:schemeClr w14:val="tx1"/>
                  </w14:solidFill>
                </w14:textFill>
              </w:rPr>
              <w:t>税</w:t>
            </w:r>
            <w:r>
              <w:rPr>
                <w:rFonts w:hint="eastAsia"/>
                <w:color w:val="000000" w:themeColor="text1"/>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9E8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备注</w:t>
            </w:r>
          </w:p>
        </w:tc>
      </w:tr>
      <w:tr w14:paraId="6499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86A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048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爱生百慕大与黑麦草混播</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C9B2">
            <w:pPr>
              <w:jc w:val="center"/>
              <w:rPr>
                <w:rFonts w:hint="default" w:ascii="Times New Roman" w:hAnsi="Times New Roman" w:cs="Times New Roman" w:eastAsiaTheme="minorEastAsia"/>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9C6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F5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1224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8EF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A0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13464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3A48">
            <w:pPr>
              <w:jc w:val="center"/>
              <w:rPr>
                <w:rFonts w:hint="default" w:ascii="Times New Roman" w:hAnsi="Times New Roman" w:cs="Times New Roman" w:eastAsiaTheme="minorEastAsia"/>
                <w:i w:val="0"/>
                <w:iCs w:val="0"/>
                <w:color w:val="000000"/>
                <w:sz w:val="21"/>
                <w:szCs w:val="21"/>
                <w:u w:val="none"/>
              </w:rPr>
            </w:pPr>
          </w:p>
        </w:tc>
      </w:tr>
      <w:tr w14:paraId="11B3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78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049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大樱花</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F4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φ20.1-22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9F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CA0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3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6800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E09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47600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010C">
            <w:pPr>
              <w:jc w:val="center"/>
              <w:rPr>
                <w:rFonts w:hint="default" w:ascii="Times New Roman" w:hAnsi="Times New Roman" w:cs="Times New Roman" w:eastAsiaTheme="minorEastAsia"/>
                <w:i w:val="0"/>
                <w:iCs w:val="0"/>
                <w:color w:val="000000"/>
                <w:sz w:val="21"/>
                <w:szCs w:val="21"/>
                <w:u w:val="none"/>
              </w:rPr>
            </w:pPr>
          </w:p>
        </w:tc>
      </w:tr>
      <w:tr w14:paraId="3035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047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120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五彩蕨</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494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9F8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771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1C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A90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7560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721F">
            <w:pPr>
              <w:jc w:val="center"/>
              <w:rPr>
                <w:rFonts w:hint="default" w:ascii="Times New Roman" w:hAnsi="Times New Roman" w:cs="Times New Roman" w:eastAsiaTheme="minorEastAsia"/>
                <w:i w:val="0"/>
                <w:iCs w:val="0"/>
                <w:color w:val="000000"/>
                <w:sz w:val="21"/>
                <w:szCs w:val="21"/>
                <w:u w:val="none"/>
              </w:rPr>
            </w:pPr>
          </w:p>
        </w:tc>
      </w:tr>
      <w:tr w14:paraId="041F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A4C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EDA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八仙花</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5A6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02D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4A8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7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BD9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4180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4A89">
            <w:pPr>
              <w:jc w:val="center"/>
              <w:rPr>
                <w:rFonts w:hint="default" w:ascii="Times New Roman" w:hAnsi="Times New Roman" w:cs="Times New Roman" w:eastAsiaTheme="minorEastAsia"/>
                <w:i w:val="0"/>
                <w:iCs w:val="0"/>
                <w:color w:val="000000"/>
                <w:sz w:val="21"/>
                <w:szCs w:val="21"/>
                <w:u w:val="none"/>
              </w:rPr>
            </w:pPr>
          </w:p>
        </w:tc>
      </w:tr>
      <w:tr w14:paraId="0A19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B02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BE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蜀葵</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26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6B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92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BF3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DA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1500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0F0">
            <w:pPr>
              <w:jc w:val="center"/>
              <w:rPr>
                <w:rFonts w:hint="default" w:ascii="Times New Roman" w:hAnsi="Times New Roman" w:cs="Times New Roman" w:eastAsiaTheme="minorEastAsia"/>
                <w:i w:val="0"/>
                <w:iCs w:val="0"/>
                <w:color w:val="000000"/>
                <w:sz w:val="21"/>
                <w:szCs w:val="21"/>
                <w:u w:val="none"/>
              </w:rPr>
            </w:pPr>
          </w:p>
        </w:tc>
      </w:tr>
      <w:tr w14:paraId="089F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31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6</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4D9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超级鼠尾草</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BF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B52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AA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EFC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CFB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20800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2218">
            <w:pPr>
              <w:jc w:val="center"/>
              <w:rPr>
                <w:rFonts w:hint="default" w:ascii="Times New Roman" w:hAnsi="Times New Roman" w:cs="Times New Roman" w:eastAsiaTheme="minorEastAsia"/>
                <w:i w:val="0"/>
                <w:iCs w:val="0"/>
                <w:color w:val="000000"/>
                <w:sz w:val="21"/>
                <w:szCs w:val="21"/>
                <w:u w:val="none"/>
              </w:rPr>
            </w:pPr>
          </w:p>
        </w:tc>
      </w:tr>
      <w:tr w14:paraId="55C7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BB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7</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92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玛格丽特</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3B2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50D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BB4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89</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D91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230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1BD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20470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A079">
            <w:pPr>
              <w:jc w:val="center"/>
              <w:rPr>
                <w:rFonts w:hint="default" w:ascii="Times New Roman" w:hAnsi="Times New Roman" w:cs="Times New Roman" w:eastAsiaTheme="minorEastAsia"/>
                <w:i w:val="0"/>
                <w:iCs w:val="0"/>
                <w:color w:val="000000"/>
                <w:sz w:val="21"/>
                <w:szCs w:val="21"/>
                <w:u w:val="none"/>
              </w:rPr>
            </w:pPr>
          </w:p>
        </w:tc>
      </w:tr>
      <w:tr w14:paraId="46C6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C9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B55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萼距花</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D6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A59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2FC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67</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4BF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115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2FB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7705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D7F4">
            <w:pPr>
              <w:jc w:val="center"/>
              <w:rPr>
                <w:rFonts w:hint="default" w:ascii="Times New Roman" w:hAnsi="Times New Roman" w:cs="Times New Roman" w:eastAsiaTheme="minorEastAsia"/>
                <w:i w:val="0"/>
                <w:iCs w:val="0"/>
                <w:color w:val="000000"/>
                <w:sz w:val="21"/>
                <w:szCs w:val="21"/>
                <w:u w:val="none"/>
              </w:rPr>
            </w:pPr>
          </w:p>
        </w:tc>
      </w:tr>
      <w:tr w14:paraId="776D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50B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9</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383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亮金女贞</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DFB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36株/㎡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E4D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31B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110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373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082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8800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1D41">
            <w:pPr>
              <w:jc w:val="center"/>
              <w:rPr>
                <w:rFonts w:hint="default" w:ascii="Times New Roman" w:hAnsi="Times New Roman" w:cs="Times New Roman" w:eastAsiaTheme="minorEastAsia"/>
                <w:i w:val="0"/>
                <w:iCs w:val="0"/>
                <w:color w:val="000000"/>
                <w:sz w:val="21"/>
                <w:szCs w:val="21"/>
                <w:u w:val="none"/>
              </w:rPr>
            </w:pPr>
          </w:p>
        </w:tc>
      </w:tr>
      <w:tr w14:paraId="5208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0F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合计</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EFDA">
            <w:pPr>
              <w:jc w:val="center"/>
              <w:rPr>
                <w:rFonts w:hint="default" w:ascii="Times New Roman" w:hAnsi="Times New Roman" w:cs="Times New Roman" w:eastAsiaTheme="minorEastAsia"/>
                <w:i w:val="0"/>
                <w:iCs w:val="0"/>
                <w:color w:val="000000"/>
                <w:sz w:val="21"/>
                <w:szCs w:val="21"/>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8095">
            <w:pPr>
              <w:jc w:val="center"/>
              <w:rPr>
                <w:rFonts w:hint="default" w:ascii="Times New Roman" w:hAnsi="Times New Roman" w:cs="Times New Roman" w:eastAsiaTheme="minorEastAsia"/>
                <w:i w:val="0"/>
                <w:iCs w:val="0"/>
                <w:color w:val="000000"/>
                <w:sz w:val="21"/>
                <w:szCs w:val="21"/>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5EFD">
            <w:pPr>
              <w:jc w:val="center"/>
              <w:rPr>
                <w:rFonts w:hint="default" w:ascii="Times New Roman" w:hAnsi="Times New Roman" w:cs="Times New Roman" w:eastAsiaTheme="minorEastAsia"/>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13AA">
            <w:pPr>
              <w:jc w:val="center"/>
              <w:rPr>
                <w:rFonts w:hint="default" w:ascii="Times New Roman" w:hAnsi="Times New Roman" w:cs="Times New Roman" w:eastAsiaTheme="minorEastAsia"/>
                <w:i w:val="0"/>
                <w:iCs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AE26">
            <w:pPr>
              <w:jc w:val="center"/>
              <w:rPr>
                <w:rFonts w:hint="default" w:ascii="Times New Roman" w:hAnsi="Times New Roman" w:cs="Times New Roman" w:eastAsiaTheme="minorEastAsia"/>
                <w:i w:val="0"/>
                <w:iCs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F01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132079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410E">
            <w:pPr>
              <w:jc w:val="center"/>
              <w:rPr>
                <w:rFonts w:hint="default" w:ascii="Times New Roman" w:hAnsi="Times New Roman" w:cs="Times New Roman" w:eastAsiaTheme="minorEastAsia"/>
                <w:i w:val="0"/>
                <w:iCs w:val="0"/>
                <w:color w:val="000000"/>
                <w:sz w:val="21"/>
                <w:szCs w:val="21"/>
                <w:u w:val="none"/>
              </w:rPr>
            </w:pPr>
          </w:p>
        </w:tc>
      </w:tr>
    </w:tbl>
    <w:p w14:paraId="48BB11F7">
      <w:pPr>
        <w:ind w:firstLine="422" w:firstLineChars="200"/>
        <w:rPr>
          <w:rFonts w:hint="eastAsia" w:ascii="宋体" w:hAnsi="宋体"/>
          <w:b/>
          <w:szCs w:val="21"/>
          <w:lang w:val="en-US" w:eastAsia="zh-CN"/>
        </w:rPr>
      </w:pPr>
    </w:p>
    <w:p w14:paraId="2C479DE3">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3、结算方式：中标材料单价（免税）*对应材料数量=结算总价（免税）</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6、投标单位须提供可开免税票证明，或以往开具的免税发票。</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eastAsia" w:ascii="宋体" w:hAnsi="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：工程竣工验收合格后付至</w:t>
      </w:r>
      <w:r>
        <w:rPr>
          <w:rFonts w:hint="eastAsia" w:ascii="宋体" w:hAnsi="宋体"/>
          <w:color w:val="000000"/>
          <w:szCs w:val="21"/>
          <w:lang w:eastAsia="zh-CN"/>
        </w:rPr>
        <w:t>实际供货款</w:t>
      </w:r>
      <w:r>
        <w:rPr>
          <w:rFonts w:hint="eastAsia" w:ascii="宋体" w:hAnsi="宋体"/>
          <w:color w:val="000000"/>
          <w:szCs w:val="21"/>
        </w:rPr>
        <w:t>70%(不超过合同价的70%);工程结算终审结束后付至</w:t>
      </w:r>
      <w:r>
        <w:rPr>
          <w:rFonts w:hint="eastAsia" w:ascii="宋体" w:hAnsi="宋体"/>
          <w:color w:val="000000"/>
          <w:szCs w:val="21"/>
          <w:lang w:eastAsia="zh-CN"/>
        </w:rPr>
        <w:t>实际供货款</w:t>
      </w:r>
      <w:r>
        <w:rPr>
          <w:rFonts w:hint="eastAsia" w:ascii="宋体" w:hAnsi="宋体"/>
          <w:color w:val="000000"/>
          <w:szCs w:val="21"/>
        </w:rPr>
        <w:t>97%;余款在</w:t>
      </w:r>
      <w:r>
        <w:rPr>
          <w:rFonts w:hint="eastAsia" w:ascii="宋体" w:hAnsi="宋体"/>
          <w:color w:val="FF0000"/>
          <w:szCs w:val="21"/>
          <w:lang w:val="en-US" w:eastAsia="zh-CN"/>
        </w:rPr>
        <w:t>二年养护</w:t>
      </w:r>
      <w:r>
        <w:rPr>
          <w:rFonts w:hint="eastAsia" w:ascii="宋体" w:hAnsi="宋体"/>
          <w:color w:val="000000"/>
          <w:szCs w:val="21"/>
        </w:rPr>
        <w:t>责任期满后根据乙方的书面申请无息付清(不计息)。</w:t>
      </w:r>
      <w:r>
        <w:rPr>
          <w:rFonts w:hint="eastAsia" w:ascii="宋体" w:hAnsi="宋体"/>
          <w:color w:val="FF0000"/>
          <w:szCs w:val="21"/>
          <w:lang w:val="en-US" w:eastAsia="zh-CN"/>
        </w:rPr>
        <w:t>以上材料款支付，需满足建设单位工程款已支付且按同比例支付材料款。</w:t>
      </w:r>
    </w:p>
    <w:p w14:paraId="03F0CA72">
      <w:pPr>
        <w:autoSpaceDE w:val="0"/>
        <w:autoSpaceDN w:val="0"/>
        <w:adjustRightInd w:val="0"/>
        <w:snapToGrid w:val="0"/>
        <w:spacing w:line="480" w:lineRule="exact"/>
        <w:ind w:firstLine="561"/>
        <w:rPr>
          <w:rFonts w:hint="default" w:ascii="宋体" w:hAnsi="宋体"/>
          <w:color w:val="FF0000"/>
          <w:szCs w:val="21"/>
          <w:lang w:val="en-US" w:eastAsia="zh-CN"/>
        </w:rPr>
      </w:pPr>
      <w:r>
        <w:rPr>
          <w:rFonts w:hint="eastAsia" w:ascii="宋体" w:hAnsi="宋体" w:cs="Times New Roman"/>
          <w:color w:val="FF0000"/>
          <w:szCs w:val="21"/>
          <w:lang w:val="en-US" w:eastAsia="zh-CN"/>
        </w:rPr>
        <w:t>⑧养护</w:t>
      </w:r>
      <w:r>
        <w:rPr>
          <w:rFonts w:hint="eastAsia" w:ascii="宋体" w:hAnsi="宋体" w:eastAsia="宋体" w:cs="Times New Roman"/>
          <w:color w:val="FF0000"/>
          <w:szCs w:val="21"/>
          <w:lang w:val="en-US" w:eastAsia="zh-CN"/>
        </w:rPr>
        <w:t>期期限：</w:t>
      </w:r>
      <w:r>
        <w:rPr>
          <w:rFonts w:hint="eastAsia" w:ascii="宋体" w:hAnsi="宋体" w:cs="Times New Roman"/>
          <w:color w:val="FF0000"/>
          <w:szCs w:val="21"/>
          <w:lang w:val="en-US" w:eastAsia="zh-CN"/>
        </w:rPr>
        <w:t>二</w:t>
      </w:r>
      <w:r>
        <w:rPr>
          <w:rFonts w:hint="eastAsia" w:ascii="宋体" w:hAnsi="宋体" w:eastAsia="宋体" w:cs="Times New Roman"/>
          <w:color w:val="FF0000"/>
          <w:szCs w:val="21"/>
          <w:lang w:val="en-US" w:eastAsia="zh-CN"/>
        </w:rPr>
        <w:t>年，苗木存活率不低于100%。</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⑩解决合同纠纷的方式：因履行本合同发生争议，如当事人协商不成，由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lang w:val="en-US" w:eastAsia="zh-CN"/>
        </w:rPr>
        <w:t>⑪</w:t>
      </w:r>
      <w:r>
        <w:rPr>
          <w:rFonts w:hint="eastAsia" w:ascii="宋体" w:hAnsi="宋体"/>
          <w:color w:val="000000"/>
          <w:szCs w:val="21"/>
        </w:rPr>
        <w:t>其他约定事项。</w:t>
      </w:r>
    </w:p>
    <w:p w14:paraId="3E17D74E">
      <w:pPr>
        <w:pStyle w:val="20"/>
        <w:rPr>
          <w:rFonts w:hint="eastAsia"/>
        </w:rPr>
      </w:pPr>
    </w:p>
    <w:p w14:paraId="32A2AD79">
      <w:pPr>
        <w:pStyle w:val="20"/>
        <w:rPr>
          <w:rFonts w:hint="eastAsia"/>
        </w:rPr>
      </w:pPr>
    </w:p>
    <w:p w14:paraId="51E2AFD0">
      <w:pPr>
        <w:pStyle w:val="20"/>
        <w:rPr>
          <w:rFonts w:hint="eastAsia"/>
        </w:rPr>
      </w:pPr>
    </w:p>
    <w:p w14:paraId="6357AA9C">
      <w:pPr>
        <w:pStyle w:val="20"/>
        <w:rPr>
          <w:rFonts w:hint="eastAsia"/>
        </w:rPr>
      </w:pPr>
    </w:p>
    <w:p w14:paraId="7718FA1A">
      <w:pPr>
        <w:pStyle w:val="20"/>
        <w:rPr>
          <w:rFonts w:hint="eastAsia"/>
        </w:rPr>
      </w:pPr>
    </w:p>
    <w:p w14:paraId="017DA7B5">
      <w:pPr>
        <w:pStyle w:val="20"/>
        <w:rPr>
          <w:rFonts w:hint="eastAsia"/>
        </w:rPr>
      </w:pPr>
    </w:p>
    <w:p w14:paraId="24D704C6">
      <w:pPr>
        <w:pStyle w:val="20"/>
        <w:rPr>
          <w:rFonts w:hint="eastAsia"/>
        </w:rPr>
      </w:pPr>
    </w:p>
    <w:p w14:paraId="1F1CA642">
      <w:pPr>
        <w:pStyle w:val="20"/>
        <w:rPr>
          <w:rFonts w:hint="eastAsia"/>
        </w:rPr>
      </w:pPr>
    </w:p>
    <w:p w14:paraId="0DE5E4D2">
      <w:pPr>
        <w:pStyle w:val="20"/>
        <w:rPr>
          <w:rFonts w:hint="eastAsia"/>
        </w:rPr>
      </w:pPr>
    </w:p>
    <w:p w14:paraId="1C49E8B8">
      <w:pPr>
        <w:pStyle w:val="20"/>
        <w:rPr>
          <w:rFonts w:hint="eastAsia"/>
        </w:rPr>
      </w:pPr>
    </w:p>
    <w:p w14:paraId="314B6EA7">
      <w:pPr>
        <w:pStyle w:val="20"/>
        <w:rPr>
          <w:rFonts w:hint="eastAsia"/>
        </w:rPr>
      </w:pPr>
    </w:p>
    <w:p w14:paraId="37CBABDF">
      <w:pPr>
        <w:pStyle w:val="20"/>
        <w:rPr>
          <w:rFonts w:hint="eastAsia"/>
        </w:rPr>
      </w:pPr>
    </w:p>
    <w:p w14:paraId="1FFC6697">
      <w:pPr>
        <w:pStyle w:val="20"/>
        <w:rPr>
          <w:rFonts w:hint="eastAsia"/>
        </w:rPr>
      </w:pPr>
    </w:p>
    <w:p w14:paraId="729254BE">
      <w:pPr>
        <w:pStyle w:val="20"/>
        <w:rPr>
          <w:rFonts w:hint="eastAsia"/>
        </w:rPr>
      </w:pPr>
    </w:p>
    <w:p w14:paraId="5521E58F">
      <w:pPr>
        <w:pStyle w:val="20"/>
        <w:rPr>
          <w:rFonts w:hint="eastAsia"/>
        </w:rPr>
      </w:pPr>
    </w:p>
    <w:p w14:paraId="6ADD5781">
      <w:pPr>
        <w:pStyle w:val="20"/>
        <w:rPr>
          <w:rFonts w:hint="eastAsia"/>
        </w:rPr>
      </w:pPr>
    </w:p>
    <w:p w14:paraId="72070DE4">
      <w:pPr>
        <w:pStyle w:val="20"/>
        <w:rPr>
          <w:rFonts w:hint="eastAsia"/>
        </w:rPr>
      </w:pPr>
    </w:p>
    <w:p w14:paraId="34996B4A">
      <w:pPr>
        <w:pStyle w:val="20"/>
        <w:rPr>
          <w:rFonts w:hint="eastAsia"/>
        </w:rPr>
      </w:pPr>
    </w:p>
    <w:p w14:paraId="27D184D3">
      <w:pPr>
        <w:pStyle w:val="20"/>
        <w:rPr>
          <w:rFonts w:hint="eastAsia"/>
        </w:rPr>
      </w:pPr>
    </w:p>
    <w:p w14:paraId="624104E1">
      <w:pPr>
        <w:pStyle w:val="20"/>
        <w:rPr>
          <w:rFonts w:hint="eastAsia"/>
        </w:rPr>
      </w:pPr>
    </w:p>
    <w:p w14:paraId="2C77B06D">
      <w:pPr>
        <w:pStyle w:val="20"/>
        <w:rPr>
          <w:rFonts w:hint="eastAsia"/>
        </w:rPr>
      </w:pPr>
    </w:p>
    <w:p w14:paraId="77DA0D42">
      <w:pPr>
        <w:pStyle w:val="20"/>
        <w:rPr>
          <w:rFonts w:hint="eastAsia"/>
        </w:rPr>
      </w:pPr>
    </w:p>
    <w:p w14:paraId="0F96579E">
      <w:pPr>
        <w:pStyle w:val="20"/>
        <w:rPr>
          <w:rFonts w:hint="eastAsia"/>
        </w:rPr>
      </w:pPr>
    </w:p>
    <w:p w14:paraId="19A74A33">
      <w:pPr>
        <w:pStyle w:val="20"/>
        <w:rPr>
          <w:rFonts w:hint="eastAsia"/>
        </w:rPr>
      </w:pPr>
    </w:p>
    <w:p w14:paraId="011B44CF">
      <w:pPr>
        <w:pStyle w:val="20"/>
        <w:rPr>
          <w:rFonts w:hint="eastAsia"/>
        </w:rPr>
      </w:pPr>
    </w:p>
    <w:p w14:paraId="0868D625">
      <w:pPr>
        <w:pStyle w:val="20"/>
        <w:rPr>
          <w:rFonts w:hint="eastAsia"/>
        </w:rPr>
      </w:pPr>
    </w:p>
    <w:p w14:paraId="01D25764">
      <w:pPr>
        <w:pStyle w:val="20"/>
        <w:rPr>
          <w:rFonts w:hint="eastAsia"/>
        </w:rPr>
      </w:pPr>
    </w:p>
    <w:p w14:paraId="79FE9208">
      <w:pPr>
        <w:pStyle w:val="20"/>
        <w:rPr>
          <w:rFonts w:hint="eastAsia"/>
        </w:rPr>
      </w:pPr>
    </w:p>
    <w:p w14:paraId="2EE8EA2C">
      <w:pPr>
        <w:pStyle w:val="20"/>
        <w:rPr>
          <w:rFonts w:hint="eastAsia"/>
        </w:rPr>
      </w:pPr>
    </w:p>
    <w:p w14:paraId="61258C23">
      <w:pPr>
        <w:pStyle w:val="20"/>
        <w:rPr>
          <w:rFonts w:hint="eastAsia"/>
        </w:rPr>
      </w:pPr>
    </w:p>
    <w:p w14:paraId="4F5B3E68">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（免税）</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（免税）</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就扬州市上善建设工程有限公司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（免</w:t>
            </w:r>
            <w:r>
              <w:rPr>
                <w:rFonts w:hint="eastAsia" w:ascii="方正仿宋_GBK" w:hAnsi="方正仿宋_GBK" w:eastAsia="方正仿宋_GBK" w:cs="方正仿宋_GBK"/>
                <w:bCs/>
                <w:color w:val="000000"/>
                <w:sz w:val="24"/>
                <w:lang w:val="en-US" w:eastAsia="zh-CN"/>
              </w:rPr>
              <w:t>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工程竣工验收合格后付至</w:t>
      </w:r>
      <w:r>
        <w:rPr>
          <w:rFonts w:hint="eastAsia" w:ascii="方正仿宋_GBK" w:hAnsi="方正仿宋_GBK" w:eastAsia="方正仿宋_GBK" w:cs="方正仿宋_GBK"/>
          <w:sz w:val="24"/>
          <w:u w:val="single"/>
          <w:lang w:eastAsia="zh-CN"/>
        </w:rPr>
        <w:t>实际供货款</w:t>
      </w:r>
      <w:r>
        <w:rPr>
          <w:rFonts w:hint="eastAsia" w:ascii="方正仿宋_GBK" w:hAnsi="方正仿宋_GBK" w:eastAsia="方正仿宋_GBK" w:cs="方正仿宋_GBK"/>
          <w:sz w:val="24"/>
          <w:u w:val="single"/>
        </w:rPr>
        <w:t>70%(不超过合同价的70%);工程结算终审结束后付至</w:t>
      </w:r>
      <w:r>
        <w:rPr>
          <w:rFonts w:hint="eastAsia" w:ascii="方正仿宋_GBK" w:hAnsi="方正仿宋_GBK" w:eastAsia="方正仿宋_GBK" w:cs="方正仿宋_GBK"/>
          <w:sz w:val="24"/>
          <w:u w:val="single"/>
          <w:lang w:eastAsia="zh-CN"/>
        </w:rPr>
        <w:t>实际供货款</w:t>
      </w:r>
      <w:r>
        <w:rPr>
          <w:rFonts w:hint="eastAsia" w:ascii="方正仿宋_GBK" w:hAnsi="方正仿宋_GBK" w:eastAsia="方正仿宋_GBK" w:cs="方正仿宋_GBK"/>
          <w:sz w:val="24"/>
          <w:u w:val="single"/>
        </w:rPr>
        <w:t>97%;余款在</w:t>
      </w:r>
      <w:r>
        <w:rPr>
          <w:rFonts w:hint="eastAsia" w:ascii="方正仿宋_GBK" w:hAnsi="方正仿宋_GBK" w:eastAsia="方正仿宋_GBK" w:cs="方正仿宋_GBK"/>
          <w:sz w:val="24"/>
          <w:u w:val="single"/>
          <w:lang w:val="en-US" w:eastAsia="zh-CN"/>
        </w:rPr>
        <w:t>二年养护</w:t>
      </w:r>
      <w:r>
        <w:rPr>
          <w:rFonts w:hint="eastAsia" w:ascii="方正仿宋_GBK" w:hAnsi="方正仿宋_GBK" w:eastAsia="方正仿宋_GBK" w:cs="方正仿宋_GBK"/>
          <w:sz w:val="24"/>
          <w:u w:val="single"/>
        </w:rPr>
        <w:t>责任期满后根据乙方的书面申请无息付清(不计息)。</w:t>
      </w:r>
      <w:r>
        <w:rPr>
          <w:rFonts w:hint="eastAsia" w:ascii="方正仿宋_GBK" w:hAnsi="方正仿宋_GBK" w:eastAsia="方正仿宋_GBK" w:cs="方正仿宋_GBK"/>
          <w:sz w:val="24"/>
          <w:u w:val="single"/>
          <w:lang w:val="en-US" w:eastAsia="zh-CN"/>
        </w:rPr>
        <w:t>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核对完成后乙方开具相应金额的</w:t>
      </w:r>
      <w:r>
        <w:rPr>
          <w:rFonts w:hint="eastAsia" w:ascii="方正仿宋_GBK" w:hAnsi="方正仿宋_GBK" w:eastAsia="方正仿宋_GBK" w:cs="方正仿宋_GBK"/>
          <w:bCs/>
          <w:sz w:val="24"/>
          <w:lang w:eastAsia="zh-CN"/>
        </w:rPr>
        <w:t>免税普票</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bookmarkStart w:id="2" w:name="_GoBack"/>
      <w:bookmarkEnd w:id="2"/>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6CD48F6C">
      <w:pPr>
        <w:pStyle w:val="4"/>
        <w:rPr>
          <w:color w:val="000000" w:themeColor="text1"/>
          <w14:textFill>
            <w14:solidFill>
              <w14:schemeClr w14:val="tx1"/>
            </w14:solidFill>
          </w14:textFill>
        </w:rPr>
      </w:pPr>
    </w:p>
    <w:p w14:paraId="1CF70972">
      <w:pPr>
        <w:pStyle w:val="4"/>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lang w:eastAsia="zh-CN"/>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B4A15C-1A73-48F2-8808-5DE39D8E11BF}"/>
  </w:font>
  <w:font w:name="黑体">
    <w:panose1 w:val="02010609060101010101"/>
    <w:charset w:val="86"/>
    <w:family w:val="auto"/>
    <w:pitch w:val="default"/>
    <w:sig w:usb0="800002BF" w:usb1="38CF7CFA" w:usb2="00000016" w:usb3="00000000" w:csb0="00040001" w:csb1="00000000"/>
    <w:embedRegular r:id="rId2" w:fontKey="{CCED1BA7-5738-4EAF-A694-F0A16AF198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6B9BB87-7F1E-4B9C-9A05-B3F8B4357DF3}"/>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BEFF24BC-7454-494E-97E6-277AF0AF3A6B}"/>
  </w:font>
  <w:font w:name="楷体_GB2312">
    <w:panose1 w:val="02010609030101010101"/>
    <w:charset w:val="86"/>
    <w:family w:val="modern"/>
    <w:pitch w:val="default"/>
    <w:sig w:usb0="00000001" w:usb1="080E0000" w:usb2="00000000" w:usb3="00000000" w:csb0="00040000" w:csb1="00000000"/>
    <w:embedRegular r:id="rId5" w:fontKey="{A5017B9E-F5C4-4012-8354-A6B927CACE9B}"/>
  </w:font>
  <w:font w:name="方正小标宋_GBK">
    <w:panose1 w:val="02000000000000000000"/>
    <w:charset w:val="86"/>
    <w:family w:val="auto"/>
    <w:pitch w:val="default"/>
    <w:sig w:usb0="00000001" w:usb1="080E0000" w:usb2="00000000" w:usb3="00000000" w:csb0="00040000" w:csb1="00000000"/>
    <w:embedRegular r:id="rId6" w:fontKey="{0608C6E3-C947-4748-90D9-9F28644EC705}"/>
  </w:font>
  <w:font w:name="方正仿宋_GBK">
    <w:panose1 w:val="03000509000000000000"/>
    <w:charset w:val="86"/>
    <w:family w:val="auto"/>
    <w:pitch w:val="default"/>
    <w:sig w:usb0="00000001" w:usb1="080E0000" w:usb2="00000000" w:usb3="00000000" w:csb0="00040000" w:csb1="00000000"/>
    <w:embedRegular r:id="rId7" w:fontKey="{779D20FD-623D-4092-BE29-F3A76CF3F095}"/>
  </w:font>
  <w:font w:name="仿宋">
    <w:panose1 w:val="02010609060101010101"/>
    <w:charset w:val="86"/>
    <w:family w:val="auto"/>
    <w:pitch w:val="default"/>
    <w:sig w:usb0="800002BF" w:usb1="38CF7CFA" w:usb2="00000016" w:usb3="00000000" w:csb0="00040001" w:csb1="00000000"/>
    <w:embedRegular r:id="rId8" w:fontKey="{85D672FC-561F-4957-BF51-370AF5252972}"/>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C006D9B"/>
    <w:rsid w:val="0C391C75"/>
    <w:rsid w:val="0C460641"/>
    <w:rsid w:val="0D046532"/>
    <w:rsid w:val="0D9773A6"/>
    <w:rsid w:val="0E5A3EAC"/>
    <w:rsid w:val="105E328D"/>
    <w:rsid w:val="10E46038"/>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60C121F"/>
    <w:rsid w:val="26BA2DC8"/>
    <w:rsid w:val="26E30BFE"/>
    <w:rsid w:val="27822FD3"/>
    <w:rsid w:val="28994243"/>
    <w:rsid w:val="28E66D39"/>
    <w:rsid w:val="2B4431B2"/>
    <w:rsid w:val="2CA37518"/>
    <w:rsid w:val="2FFE5B53"/>
    <w:rsid w:val="31A368A5"/>
    <w:rsid w:val="31F0483A"/>
    <w:rsid w:val="3220530C"/>
    <w:rsid w:val="32CA33D5"/>
    <w:rsid w:val="32E43D91"/>
    <w:rsid w:val="33976056"/>
    <w:rsid w:val="34804ED0"/>
    <w:rsid w:val="34EC7159"/>
    <w:rsid w:val="377C1237"/>
    <w:rsid w:val="37AF7C77"/>
    <w:rsid w:val="3B223EA3"/>
    <w:rsid w:val="3B257EFE"/>
    <w:rsid w:val="3C646ABC"/>
    <w:rsid w:val="3C691FB0"/>
    <w:rsid w:val="3CA8662A"/>
    <w:rsid w:val="3CB00D71"/>
    <w:rsid w:val="3D1E68EC"/>
    <w:rsid w:val="3F4645C5"/>
    <w:rsid w:val="3F8E7211"/>
    <w:rsid w:val="3FF839D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020240"/>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0F074C"/>
    <w:rsid w:val="6D116F45"/>
    <w:rsid w:val="6EC33740"/>
    <w:rsid w:val="6EE658EC"/>
    <w:rsid w:val="6FA2234A"/>
    <w:rsid w:val="6FC00FB9"/>
    <w:rsid w:val="6FD30157"/>
    <w:rsid w:val="715916C6"/>
    <w:rsid w:val="726C5429"/>
    <w:rsid w:val="749018A2"/>
    <w:rsid w:val="75F0011F"/>
    <w:rsid w:val="7686731E"/>
    <w:rsid w:val="778C2829"/>
    <w:rsid w:val="77D7083D"/>
    <w:rsid w:val="77E9764D"/>
    <w:rsid w:val="78135BBF"/>
    <w:rsid w:val="78387804"/>
    <w:rsid w:val="7A546ECE"/>
    <w:rsid w:val="7AA15E8B"/>
    <w:rsid w:val="7AB53611"/>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4889</Words>
  <Characters>5070</Characters>
  <Lines>30</Lines>
  <Paragraphs>8</Paragraphs>
  <TotalTime>8</TotalTime>
  <ScaleCrop>false</ScaleCrop>
  <LinksUpToDate>false</LinksUpToDate>
  <CharactersWithSpaces>5638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CiCi</cp:lastModifiedBy>
  <cp:lastPrinted>2025-07-04T08:53:00Z</cp:lastPrinted>
  <dcterms:modified xsi:type="dcterms:W3CDTF">2025-07-04T09:07:44Z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3ED94CEA165F43B0B00F3ADE05CE3C41_13</vt:lpwstr>
  </property>
  <property fmtid="{D5CDD505-2E9C-101B-9397-08002B2CF9AE}" pid="4" name="KSOTemplateDocerSaveRecord">
    <vt:lpwstr>eyJoZGlkIjoiMWY2ZDU0ZDZhNmVlYjY1MDk5NDhmOWFjMmQ5OTgwNzEiLCJ1c2VySWQiOiI2NDM3MTIwNTIifQ==</vt:lpwstr>
  </property>
</Properties>
</file>