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6"/>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0030944C">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扬州市杭集高新区产业园区横一路(暂定名)一期建设工程 EPC工程</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PE实壁排水管材料采购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6"/>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6</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27</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BAD185E">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扬州市杭集高新区产业园区横一路(暂定名)一期建设工程EPC工程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6</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27</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29 </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6"/>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275E3CF8">
      <w:pPr>
        <w:autoSpaceDE w:val="0"/>
        <w:autoSpaceDN w:val="0"/>
        <w:adjustRightInd w:val="0"/>
        <w:snapToGrid w:val="0"/>
        <w:spacing w:line="480" w:lineRule="exact"/>
        <w:rPr>
          <w:rFonts w:ascii="宋体" w:hAnsi="宋体"/>
          <w:b/>
          <w:color w:val="000000" w:themeColor="text1"/>
          <w:szCs w:val="21"/>
          <w14:textFill>
            <w14:solidFill>
              <w14:schemeClr w14:val="tx1"/>
            </w14:solidFill>
          </w14:textFill>
        </w:rPr>
      </w:pPr>
    </w:p>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扬州市杭集高新区产业园区横一路(暂定名)一期建设工程EPC工程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6"/>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2986C5DF">
      <w:pPr>
        <w:ind w:firstLine="420" w:firstLineChars="200"/>
        <w:rPr>
          <w:rFonts w:hint="eastAsia"/>
          <w:lang w:val="en-US" w:eastAsia="zh-CN"/>
        </w:rPr>
      </w:pPr>
      <w:r>
        <w:rPr>
          <w:rFonts w:hint="eastAsia"/>
          <w:lang w:val="en-US" w:eastAsia="zh-CN"/>
        </w:rPr>
        <w:t>1、招标清单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20"/>
        <w:gridCol w:w="1485"/>
        <w:gridCol w:w="855"/>
        <w:gridCol w:w="974"/>
        <w:gridCol w:w="1177"/>
        <w:gridCol w:w="1089"/>
        <w:gridCol w:w="1245"/>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shd w:val="clear" w:color="auto" w:fill="auto"/>
            <w:vAlign w:val="center"/>
          </w:tcPr>
          <w:p w14:paraId="51E9DF18">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2220" w:type="dxa"/>
            <w:shd w:val="clear" w:color="auto" w:fill="auto"/>
            <w:vAlign w:val="center"/>
          </w:tcPr>
          <w:p w14:paraId="69BE5FD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485" w:type="dxa"/>
            <w:shd w:val="clear" w:color="auto" w:fill="auto"/>
            <w:vAlign w:val="center"/>
          </w:tcPr>
          <w:p w14:paraId="7063CC3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855" w:type="dxa"/>
            <w:shd w:val="clear" w:color="auto" w:fill="auto"/>
            <w:vAlign w:val="center"/>
          </w:tcPr>
          <w:p w14:paraId="3BAD5D81">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74" w:type="dxa"/>
            <w:shd w:val="clear" w:color="auto" w:fill="auto"/>
            <w:vAlign w:val="center"/>
          </w:tcPr>
          <w:p w14:paraId="2F6FC91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177" w:type="dxa"/>
            <w:shd w:val="clear" w:color="auto" w:fill="auto"/>
            <w:vAlign w:val="center"/>
          </w:tcPr>
          <w:p w14:paraId="0FCEADCB">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最高限价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089" w:type="dxa"/>
            <w:shd w:val="clear" w:color="auto" w:fill="auto"/>
            <w:vAlign w:val="center"/>
          </w:tcPr>
          <w:p w14:paraId="204CA9B3">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总价（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245" w:type="dxa"/>
            <w:shd w:val="clear" w:color="auto" w:fill="auto"/>
            <w:vAlign w:val="center"/>
          </w:tcPr>
          <w:p w14:paraId="6B2ADE2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2220"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 xml:space="preserve">PE实壁排水管（dn1200） </w:t>
            </w:r>
          </w:p>
        </w:tc>
        <w:tc>
          <w:tcPr>
            <w:tcW w:w="1485" w:type="dxa"/>
            <w:vAlign w:val="center"/>
          </w:tcPr>
          <w:p w14:paraId="495645EC">
            <w:pPr>
              <w:jc w:val="left"/>
              <w:rPr>
                <w:rFonts w:hint="default"/>
                <w:vertAlign w:val="baseline"/>
                <w:lang w:val="en-US" w:eastAsia="zh-CN"/>
              </w:rPr>
            </w:pPr>
            <w:r>
              <w:rPr>
                <w:rFonts w:hint="default"/>
                <w:vertAlign w:val="baseline"/>
                <w:lang w:val="en-US" w:eastAsia="zh-CN"/>
              </w:rPr>
              <w:t>环刚度≥16/</w:t>
            </w:r>
            <w:r>
              <w:rPr>
                <w:rFonts w:hint="default" w:ascii="Times New Roman" w:hAnsi="Times New Roman" w:cs="Times New Roman"/>
                <w:vertAlign w:val="baseline"/>
                <w:lang w:val="en-US" w:eastAsia="zh-CN"/>
              </w:rPr>
              <w:t>㎡</w:t>
            </w:r>
          </w:p>
        </w:tc>
        <w:tc>
          <w:tcPr>
            <w:tcW w:w="855"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m</w:t>
            </w:r>
          </w:p>
        </w:tc>
        <w:tc>
          <w:tcPr>
            <w:tcW w:w="974"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62</w:t>
            </w:r>
          </w:p>
        </w:tc>
        <w:tc>
          <w:tcPr>
            <w:tcW w:w="1177"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3300</w:t>
            </w:r>
          </w:p>
        </w:tc>
        <w:tc>
          <w:tcPr>
            <w:tcW w:w="1089"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204600</w:t>
            </w:r>
          </w:p>
        </w:tc>
        <w:tc>
          <w:tcPr>
            <w:tcW w:w="1245" w:type="dxa"/>
            <w:vAlign w:val="center"/>
          </w:tcPr>
          <w:p w14:paraId="70D475DE">
            <w:pPr>
              <w:jc w:val="center"/>
              <w:rPr>
                <w:rFonts w:hint="default"/>
                <w:vertAlign w:val="baseline"/>
                <w:lang w:val="en-US" w:eastAsia="zh-CN"/>
              </w:rPr>
            </w:pPr>
            <w:r>
              <w:rPr>
                <w:rFonts w:hint="eastAsia"/>
                <w:vertAlign w:val="baseline"/>
                <w:lang w:val="en-US" w:eastAsia="zh-CN"/>
              </w:rPr>
              <w:t>SDR17壁</w:t>
            </w:r>
            <w:r>
              <w:rPr>
                <w:rFonts w:hint="default"/>
                <w:vertAlign w:val="baseline"/>
                <w:lang w:val="en-US" w:eastAsia="zh-CN"/>
              </w:rPr>
              <w:t>厚6</w:t>
            </w:r>
            <w:r>
              <w:rPr>
                <w:rFonts w:hint="eastAsia"/>
                <w:vertAlign w:val="baseline"/>
                <w:lang w:val="en-US" w:eastAsia="zh-CN"/>
              </w:rPr>
              <w:t>7.9mm</w:t>
            </w: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2220"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85" w:type="dxa"/>
            <w:vAlign w:val="center"/>
          </w:tcPr>
          <w:p w14:paraId="317C8DB3">
            <w:pPr>
              <w:jc w:val="center"/>
              <w:rPr>
                <w:rFonts w:hint="default"/>
                <w:vertAlign w:val="baseline"/>
                <w:lang w:val="en-US" w:eastAsia="zh-CN"/>
              </w:rPr>
            </w:pPr>
          </w:p>
        </w:tc>
        <w:tc>
          <w:tcPr>
            <w:tcW w:w="855"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974"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177"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089" w:type="dxa"/>
            <w:vAlign w:val="center"/>
          </w:tcPr>
          <w:p w14:paraId="75205A29">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204600</w:t>
            </w:r>
          </w:p>
        </w:tc>
        <w:tc>
          <w:tcPr>
            <w:tcW w:w="1245" w:type="dxa"/>
            <w:vAlign w:val="center"/>
          </w:tcPr>
          <w:p w14:paraId="629E1A63">
            <w:pPr>
              <w:jc w:val="center"/>
              <w:rPr>
                <w:rFonts w:hint="default"/>
                <w:vertAlign w:val="baseline"/>
                <w:lang w:val="en-US" w:eastAsia="zh-CN"/>
              </w:rPr>
            </w:pPr>
          </w:p>
        </w:tc>
      </w:tr>
    </w:tbl>
    <w:p w14:paraId="308FAC07">
      <w:pPr>
        <w:numPr>
          <w:ilvl w:val="0"/>
          <w:numId w:val="0"/>
        </w:numPr>
        <w:autoSpaceDE w:val="0"/>
        <w:autoSpaceDN w:val="0"/>
        <w:adjustRightInd w:val="0"/>
        <w:snapToGrid w:val="0"/>
        <w:spacing w:line="480" w:lineRule="exact"/>
        <w:ind w:firstLine="210" w:firstLineChars="100"/>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注:PE实壁管经过建设单位认可的第三方检测单位检测，并出具相关报告，样品及检测费用包含在综合单价中。</w:t>
      </w:r>
    </w:p>
    <w:p w14:paraId="620F7424">
      <w:pPr>
        <w:numPr>
          <w:ilvl w:val="0"/>
          <w:numId w:val="0"/>
        </w:numPr>
        <w:autoSpaceDE w:val="0"/>
        <w:autoSpaceDN w:val="0"/>
        <w:adjustRightInd w:val="0"/>
        <w:snapToGrid w:val="0"/>
        <w:spacing w:line="480" w:lineRule="exact"/>
        <w:ind w:firstLine="210" w:firstLineChars="100"/>
        <w:rPr>
          <w:rFonts w:hint="eastAsia" w:ascii="宋体" w:hAnsi="宋体"/>
          <w:color w:val="FF0000"/>
          <w:szCs w:val="21"/>
          <w:lang w:val="en-US" w:eastAsia="zh-CN"/>
        </w:rPr>
      </w:pPr>
      <w:r>
        <w:rPr>
          <w:rFonts w:hint="eastAsia" w:ascii="宋体" w:hAnsi="宋体" w:cs="宋体"/>
          <w:b w:val="0"/>
          <w:bCs/>
          <w:sz w:val="21"/>
          <w:szCs w:val="21"/>
          <w:lang w:val="en-US" w:eastAsia="zh-CN"/>
        </w:rPr>
        <w:t>2</w:t>
      </w:r>
      <w:r>
        <w:rPr>
          <w:rFonts w:hint="eastAsia" w:ascii="宋体" w:hAnsi="宋体" w:eastAsia="宋体" w:cs="宋体"/>
          <w:b w:val="0"/>
          <w:bCs/>
          <w:sz w:val="21"/>
          <w:szCs w:val="21"/>
        </w:rPr>
        <w:t>、</w:t>
      </w:r>
      <w:r>
        <w:rPr>
          <w:rFonts w:hint="eastAsia" w:ascii="宋体" w:hAnsi="宋体"/>
          <w:color w:val="FF0000"/>
          <w:szCs w:val="21"/>
          <w:lang w:val="en-US" w:eastAsia="zh-CN"/>
        </w:rPr>
        <w:t>结算方式：中标材料单价（含13%税）*对应材料数量=结算总价（含13%税）</w:t>
      </w:r>
    </w:p>
    <w:p w14:paraId="608DD67B">
      <w:pPr>
        <w:numPr>
          <w:ilvl w:val="0"/>
          <w:numId w:val="0"/>
        </w:numPr>
        <w:autoSpaceDE w:val="0"/>
        <w:autoSpaceDN w:val="0"/>
        <w:adjustRightInd w:val="0"/>
        <w:snapToGrid w:val="0"/>
        <w:spacing w:line="480" w:lineRule="exact"/>
        <w:ind w:leftChars="0" w:firstLine="210" w:firstLineChars="100"/>
        <w:rPr>
          <w:rFonts w:hint="default" w:ascii="宋体" w:hAnsi="宋体" w:eastAsia="宋体" w:cs="宋体"/>
          <w:b w:val="0"/>
          <w:bCs/>
          <w:sz w:val="21"/>
          <w:szCs w:val="21"/>
          <w:lang w:val="en-US"/>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技术参数：dn1200管道公称外径1200mm，壁厚67</w:t>
      </w:r>
      <w:r>
        <w:rPr>
          <w:rFonts w:hint="eastAsia" w:ascii="宋体" w:hAnsi="宋体" w:cs="宋体"/>
          <w:b w:val="0"/>
          <w:bCs/>
          <w:sz w:val="21"/>
          <w:szCs w:val="21"/>
          <w:lang w:val="en-US" w:eastAsia="zh-CN"/>
        </w:rPr>
        <w:t>.9</w:t>
      </w:r>
      <w:bookmarkStart w:id="2" w:name="_GoBack"/>
      <w:bookmarkEnd w:id="2"/>
      <w:r>
        <w:rPr>
          <w:rFonts w:hint="eastAsia" w:ascii="宋体" w:hAnsi="宋体" w:eastAsia="宋体" w:cs="宋体"/>
          <w:b w:val="0"/>
          <w:bCs/>
          <w:sz w:val="21"/>
          <w:szCs w:val="21"/>
          <w:lang w:eastAsia="zh-CN"/>
        </w:rPr>
        <w:t xml:space="preserve">mm。管材质量应符合《非开挖工程用聚乙烯管》（CJ/T 358-2019）的要求。环柔性（压缩50%）： 内壁应圆滑，无反向弯曲，无破裂；氧化诱导时间＞20min（试验温度 200℃) </w:t>
      </w:r>
      <w:r>
        <w:rPr>
          <w:rFonts w:hint="eastAsia" w:ascii="宋体" w:hAnsi="宋体" w:cs="宋体"/>
          <w:b w:val="0"/>
          <w:bCs/>
          <w:sz w:val="21"/>
          <w:szCs w:val="21"/>
          <w:lang w:eastAsia="zh-CN"/>
        </w:rPr>
        <w:t>。</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DA78E4">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投标价格为材料送达招标方指定地点的价格，</w:t>
      </w:r>
      <w:r>
        <w:rPr>
          <w:rFonts w:hint="eastAsia" w:ascii="宋体" w:hAnsi="宋体"/>
          <w:color w:val="FF0000"/>
          <w:szCs w:val="21"/>
          <w:lang w:val="en-US" w:eastAsia="zh-CN"/>
        </w:rPr>
        <w:t>报价含运费、卸货费用，</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4DFFCA06">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val="en-US" w:eastAsia="zh-CN"/>
        </w:rPr>
        <w:t>。</w:t>
      </w:r>
    </w:p>
    <w:p w14:paraId="31BE4A8E">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5、投标单位须提供质量承诺书。</w:t>
      </w:r>
    </w:p>
    <w:p w14:paraId="0C1E1A9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6、投标单位须提供一般纳税人证明。</w:t>
      </w:r>
    </w:p>
    <w:p w14:paraId="42C3D02A">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7、中标单位须提供甲方所需的热熔设备。</w:t>
      </w:r>
    </w:p>
    <w:p w14:paraId="6509A4F1">
      <w:pPr>
        <w:autoSpaceDE w:val="0"/>
        <w:autoSpaceDN w:val="0"/>
        <w:adjustRightInd w:val="0"/>
        <w:snapToGrid w:val="0"/>
        <w:spacing w:line="480" w:lineRule="exact"/>
        <w:ind w:firstLine="630" w:firstLineChars="300"/>
        <w:rPr>
          <w:rFonts w:hint="eastAsia"/>
          <w:lang w:val="en-US" w:eastAsia="zh-CN"/>
        </w:rPr>
      </w:pPr>
      <w:r>
        <w:rPr>
          <w:rFonts w:hint="eastAsia" w:ascii="宋体" w:hAnsi="宋体"/>
          <w:szCs w:val="21"/>
          <w:lang w:val="en-US" w:eastAsia="zh-CN"/>
        </w:rPr>
        <w:t>8、投标单位须提供1份近</w:t>
      </w:r>
      <w:r>
        <w:rPr>
          <w:rFonts w:hint="eastAsia"/>
          <w:lang w:val="en-US" w:eastAsia="zh-CN"/>
        </w:rPr>
        <w:t>3年HDPE实壁排水管材料供货业绩（合同金额13万元及以上），提供合同和发票复印件加盖公章，评标委员会会根据投标方提供的发票号码，在国家税务总局全国增值税发票查询平台进行核实，如发现一次虚假将作为废标处理”。</w:t>
      </w:r>
    </w:p>
    <w:p w14:paraId="4EF70C0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9</w:t>
      </w:r>
      <w:r>
        <w:rPr>
          <w:rFonts w:hint="eastAsia" w:ascii="宋体" w:hAnsi="宋体"/>
          <w:szCs w:val="21"/>
        </w:rPr>
        <w:t>、包装要求：</w:t>
      </w:r>
    </w:p>
    <w:p w14:paraId="62A959D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0FFDD58E">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19675450">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：供货完成并经验收合格后付至实际供货量</w:t>
      </w:r>
      <w:r>
        <w:rPr>
          <w:rFonts w:hint="eastAsia" w:ascii="宋体" w:hAnsi="宋体"/>
          <w:color w:val="000000"/>
          <w:szCs w:val="21"/>
          <w:lang w:val="en-US" w:eastAsia="zh-CN"/>
        </w:rPr>
        <w:t>5</w:t>
      </w:r>
      <w:r>
        <w:rPr>
          <w:rFonts w:hint="eastAsia" w:ascii="宋体" w:hAnsi="宋体"/>
          <w:color w:val="000000"/>
          <w:szCs w:val="21"/>
        </w:rPr>
        <w:t>0%（不超过合同价的</w:t>
      </w:r>
      <w:r>
        <w:rPr>
          <w:rFonts w:hint="eastAsia" w:ascii="宋体" w:hAnsi="宋体"/>
          <w:color w:val="000000"/>
          <w:szCs w:val="21"/>
          <w:lang w:val="en-US" w:eastAsia="zh-CN"/>
        </w:rPr>
        <w:t>5</w:t>
      </w:r>
      <w:r>
        <w:rPr>
          <w:rFonts w:hint="eastAsia" w:ascii="宋体" w:hAnsi="宋体"/>
          <w:color w:val="000000"/>
          <w:szCs w:val="21"/>
        </w:rPr>
        <w:t>0%），工程竣工验收合格后付至实际供货款</w:t>
      </w:r>
      <w:r>
        <w:rPr>
          <w:rFonts w:hint="eastAsia" w:ascii="宋体" w:hAnsi="宋体"/>
          <w:color w:val="000000"/>
          <w:szCs w:val="21"/>
          <w:lang w:val="en-US" w:eastAsia="zh-CN"/>
        </w:rPr>
        <w:t>7</w:t>
      </w:r>
      <w:r>
        <w:rPr>
          <w:rFonts w:hint="eastAsia" w:ascii="宋体" w:hAnsi="宋体"/>
          <w:color w:val="000000"/>
          <w:szCs w:val="21"/>
        </w:rPr>
        <w:t>0%（不超过合同价的</w:t>
      </w:r>
      <w:r>
        <w:rPr>
          <w:rFonts w:hint="eastAsia" w:ascii="宋体" w:hAnsi="宋体"/>
          <w:color w:val="000000"/>
          <w:szCs w:val="21"/>
          <w:lang w:val="en-US" w:eastAsia="zh-CN"/>
        </w:rPr>
        <w:t>7</w:t>
      </w:r>
      <w:r>
        <w:rPr>
          <w:rFonts w:hint="eastAsia" w:ascii="宋体" w:hAnsi="宋体"/>
          <w:color w:val="000000"/>
          <w:szCs w:val="21"/>
        </w:rPr>
        <w:t>0%），工程审计结束后付至实际供货量97%，二年质保期满后，付清尾款（无息）。以上材料款支付，需满足建设单位工程款已支付且按同比例支付材料款。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191E7853">
      <w:pPr>
        <w:pStyle w:val="19"/>
        <w:numPr>
          <w:ilvl w:val="4"/>
          <w:numId w:val="0"/>
        </w:numPr>
        <w:rPr>
          <w:rFonts w:hint="eastAsia"/>
        </w:rPr>
      </w:pPr>
    </w:p>
    <w:p w14:paraId="10C64536">
      <w:pPr>
        <w:pStyle w:val="20"/>
        <w:rPr>
          <w:rFonts w:hint="eastAsia"/>
        </w:rPr>
      </w:pPr>
    </w:p>
    <w:p w14:paraId="0A71C0A6">
      <w:pPr>
        <w:pStyle w:val="20"/>
        <w:rPr>
          <w:rFonts w:hint="eastAsia"/>
        </w:rPr>
      </w:pPr>
    </w:p>
    <w:p w14:paraId="68513F39">
      <w:pPr>
        <w:pStyle w:val="20"/>
        <w:rPr>
          <w:rFonts w:hint="eastAsia"/>
        </w:rPr>
      </w:pPr>
    </w:p>
    <w:p w14:paraId="77137B83">
      <w:pPr>
        <w:pStyle w:val="20"/>
        <w:rPr>
          <w:rFonts w:hint="eastAsia"/>
        </w:rPr>
      </w:pPr>
    </w:p>
    <w:p w14:paraId="53F2B26A">
      <w:pPr>
        <w:pStyle w:val="20"/>
        <w:rPr>
          <w:rFonts w:hint="eastAsia"/>
        </w:rPr>
      </w:pPr>
    </w:p>
    <w:p w14:paraId="18176CA4">
      <w:pPr>
        <w:pStyle w:val="20"/>
        <w:rPr>
          <w:rFonts w:hint="eastAsia"/>
        </w:rPr>
      </w:pPr>
    </w:p>
    <w:p w14:paraId="428BBB49">
      <w:pPr>
        <w:pStyle w:val="20"/>
        <w:rPr>
          <w:rFonts w:hint="eastAsia"/>
        </w:rPr>
      </w:pPr>
    </w:p>
    <w:p w14:paraId="0F52EC5C">
      <w:pPr>
        <w:pStyle w:val="20"/>
        <w:rPr>
          <w:rFonts w:hint="eastAsia"/>
        </w:rPr>
      </w:pPr>
    </w:p>
    <w:p w14:paraId="74AC0EE0">
      <w:pPr>
        <w:pStyle w:val="20"/>
        <w:rPr>
          <w:rFonts w:hint="eastAsia"/>
        </w:rPr>
      </w:pPr>
    </w:p>
    <w:p w14:paraId="5FA35F62">
      <w:pPr>
        <w:pStyle w:val="20"/>
        <w:rPr>
          <w:rFonts w:hint="eastAsia"/>
        </w:rPr>
      </w:pPr>
    </w:p>
    <w:p w14:paraId="539867B2">
      <w:pPr>
        <w:pStyle w:val="20"/>
        <w:rPr>
          <w:rFonts w:hint="eastAsia"/>
        </w:rPr>
      </w:pPr>
    </w:p>
    <w:p w14:paraId="10258981">
      <w:pPr>
        <w:pStyle w:val="20"/>
        <w:rPr>
          <w:rFonts w:hint="eastAsia"/>
        </w:rPr>
      </w:pPr>
    </w:p>
    <w:p w14:paraId="4A18EEE3">
      <w:pPr>
        <w:pStyle w:val="20"/>
        <w:rPr>
          <w:rFonts w:hint="eastAsia"/>
        </w:rPr>
      </w:pPr>
    </w:p>
    <w:p w14:paraId="7FA3249A">
      <w:pPr>
        <w:pStyle w:val="20"/>
        <w:rPr>
          <w:rFonts w:hint="eastAsia"/>
        </w:rPr>
      </w:pPr>
    </w:p>
    <w:p w14:paraId="113AF718">
      <w:pPr>
        <w:pStyle w:val="20"/>
        <w:rPr>
          <w:rFonts w:hint="eastAsia"/>
        </w:rPr>
      </w:pPr>
    </w:p>
    <w:p w14:paraId="1A459752">
      <w:pPr>
        <w:pStyle w:val="20"/>
        <w:rPr>
          <w:rFonts w:hint="eastAsia"/>
        </w:rPr>
      </w:pPr>
    </w:p>
    <w:p w14:paraId="05FCFE42">
      <w:pPr>
        <w:pStyle w:val="20"/>
        <w:rPr>
          <w:rFonts w:hint="eastAsia"/>
        </w:rPr>
      </w:pPr>
    </w:p>
    <w:p w14:paraId="6FC362A1">
      <w:pPr>
        <w:pStyle w:val="20"/>
        <w:rPr>
          <w:rFonts w:hint="eastAsia"/>
        </w:rPr>
      </w:pPr>
    </w:p>
    <w:p w14:paraId="45D669DA">
      <w:pPr>
        <w:pStyle w:val="20"/>
        <w:rPr>
          <w:rFonts w:hint="eastAsia"/>
        </w:rPr>
      </w:pPr>
    </w:p>
    <w:p w14:paraId="5383C78D">
      <w:pPr>
        <w:pStyle w:val="20"/>
        <w:rPr>
          <w:rFonts w:hint="eastAsia"/>
        </w:rPr>
      </w:pPr>
    </w:p>
    <w:p w14:paraId="26678B42">
      <w:pPr>
        <w:pStyle w:val="20"/>
        <w:rPr>
          <w:rFonts w:hint="eastAsia"/>
        </w:rPr>
      </w:pPr>
    </w:p>
    <w:p w14:paraId="0E73FC62">
      <w:pPr>
        <w:pStyle w:val="20"/>
        <w:rPr>
          <w:rFonts w:hint="eastAsia"/>
        </w:rPr>
      </w:pPr>
    </w:p>
    <w:p w14:paraId="44C57BBA">
      <w:pPr>
        <w:pStyle w:val="20"/>
        <w:rPr>
          <w:rFonts w:hint="eastAsia"/>
        </w:rPr>
      </w:pPr>
    </w:p>
    <w:p w14:paraId="20145A6C">
      <w:pPr>
        <w:pStyle w:val="20"/>
        <w:rPr>
          <w:rFonts w:hint="eastAsia"/>
        </w:rPr>
      </w:pPr>
    </w:p>
    <w:p w14:paraId="3E17D74E">
      <w:pPr>
        <w:pStyle w:val="20"/>
        <w:rPr>
          <w:rFonts w:hint="eastAsia"/>
        </w:rPr>
      </w:pPr>
    </w:p>
    <w:p w14:paraId="4F5B3E68">
      <w:pPr>
        <w:pStyle w:val="20"/>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19"/>
        <w:rPr>
          <w:rFonts w:hint="eastAsia"/>
          <w:lang w:eastAsia="zh-CN"/>
        </w:rPr>
      </w:pPr>
    </w:p>
    <w:p w14:paraId="22FFDF3C">
      <w:pPr>
        <w:pStyle w:val="20"/>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19"/>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19"/>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19"/>
        <w:rPr>
          <w:rFonts w:hint="eastAsia"/>
        </w:rPr>
      </w:pPr>
    </w:p>
    <w:p w14:paraId="4C59DDD4">
      <w:pPr>
        <w:pStyle w:val="20"/>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6"/>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6"/>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4"/>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4"/>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4"/>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4"/>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4"/>
        <w:rPr>
          <w:rFonts w:hint="eastAsia" w:ascii="宋体" w:hAnsi="宋体"/>
          <w:color w:val="000000" w:themeColor="text1"/>
          <w:sz w:val="24"/>
          <w14:textFill>
            <w14:solidFill>
              <w14:schemeClr w14:val="tx1"/>
            </w14:solidFill>
          </w14:textFill>
        </w:rPr>
      </w:pPr>
    </w:p>
    <w:p w14:paraId="5155E931">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3C58D7F9">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rPr>
        <w:t>供货完成并经验收合格后付至实际供货量</w:t>
      </w:r>
      <w:r>
        <w:rPr>
          <w:rFonts w:hint="eastAsia" w:ascii="方正仿宋_GBK" w:hAnsi="方正仿宋_GBK" w:eastAsia="方正仿宋_GBK" w:cs="方正仿宋_GBK"/>
          <w:sz w:val="24"/>
          <w:u w:val="single"/>
          <w:lang w:val="en-US" w:eastAsia="zh-CN"/>
        </w:rPr>
        <w:t>5</w:t>
      </w:r>
      <w:r>
        <w:rPr>
          <w:rFonts w:hint="eastAsia" w:ascii="方正仿宋_GBK" w:hAnsi="方正仿宋_GBK" w:eastAsia="方正仿宋_GBK" w:cs="方正仿宋_GBK"/>
          <w:sz w:val="24"/>
          <w:u w:val="single"/>
        </w:rPr>
        <w:t>0%（不超过合同价的</w:t>
      </w:r>
      <w:r>
        <w:rPr>
          <w:rFonts w:hint="eastAsia" w:ascii="方正仿宋_GBK" w:hAnsi="方正仿宋_GBK" w:eastAsia="方正仿宋_GBK" w:cs="方正仿宋_GBK"/>
          <w:sz w:val="24"/>
          <w:u w:val="single"/>
          <w:lang w:val="en-US" w:eastAsia="zh-CN"/>
        </w:rPr>
        <w:t>5</w:t>
      </w:r>
      <w:r>
        <w:rPr>
          <w:rFonts w:hint="eastAsia" w:ascii="方正仿宋_GBK" w:hAnsi="方正仿宋_GBK" w:eastAsia="方正仿宋_GBK" w:cs="方正仿宋_GBK"/>
          <w:sz w:val="24"/>
          <w:u w:val="single"/>
        </w:rPr>
        <w:t>0%），工程竣工验收合格后付至实际供货款</w:t>
      </w:r>
      <w:r>
        <w:rPr>
          <w:rFonts w:hint="eastAsia" w:ascii="方正仿宋_GBK" w:hAnsi="方正仿宋_GBK" w:eastAsia="方正仿宋_GBK" w:cs="方正仿宋_GBK"/>
          <w:sz w:val="24"/>
          <w:u w:val="single"/>
          <w:lang w:val="en-US" w:eastAsia="zh-CN"/>
        </w:rPr>
        <w:t>7</w:t>
      </w:r>
      <w:r>
        <w:rPr>
          <w:rFonts w:hint="eastAsia" w:ascii="方正仿宋_GBK" w:hAnsi="方正仿宋_GBK" w:eastAsia="方正仿宋_GBK" w:cs="方正仿宋_GBK"/>
          <w:sz w:val="24"/>
          <w:u w:val="single"/>
        </w:rPr>
        <w:t>0%（不超过合同价的</w:t>
      </w:r>
      <w:r>
        <w:rPr>
          <w:rFonts w:hint="eastAsia" w:ascii="方正仿宋_GBK" w:hAnsi="方正仿宋_GBK" w:eastAsia="方正仿宋_GBK" w:cs="方正仿宋_GBK"/>
          <w:sz w:val="24"/>
          <w:u w:val="single"/>
          <w:lang w:val="en-US" w:eastAsia="zh-CN"/>
        </w:rPr>
        <w:t>7</w:t>
      </w:r>
      <w:r>
        <w:rPr>
          <w:rFonts w:hint="eastAsia" w:ascii="方正仿宋_GBK" w:hAnsi="方正仿宋_GBK" w:eastAsia="方正仿宋_GBK" w:cs="方正仿宋_GBK"/>
          <w:sz w:val="24"/>
          <w:u w:val="single"/>
        </w:rPr>
        <w:t>0%），工程审计结束后付至实际供货量97%，二年质保期满后，付清尾款（无息）。以上材料款支付，需满足建设单位工程款已支付且按同比例支付材料款。</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23EC945">
      <w:pPr>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4、乙方须提供甲方所需的热熔设备。</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6"/>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4"/>
        <w:jc w:val="center"/>
      </w:pPr>
    </w:p>
    <w:p w14:paraId="3611B52B">
      <w:pPr>
        <w:pStyle w:val="4"/>
        <w:rPr>
          <w:color w:val="000000" w:themeColor="text1"/>
          <w14:textFill>
            <w14:solidFill>
              <w14:schemeClr w14:val="tx1"/>
            </w14:solidFill>
          </w14:textFill>
        </w:rPr>
      </w:pPr>
    </w:p>
    <w:p w14:paraId="6CD48F6C">
      <w:pPr>
        <w:pStyle w:val="4"/>
        <w:rPr>
          <w:color w:val="000000" w:themeColor="text1"/>
          <w14:textFill>
            <w14:solidFill>
              <w14:schemeClr w14:val="tx1"/>
            </w14:solidFill>
          </w14:textFill>
        </w:rPr>
      </w:pPr>
    </w:p>
    <w:p w14:paraId="1CF70972">
      <w:pPr>
        <w:pStyle w:val="4"/>
        <w:rPr>
          <w:color w:val="000000" w:themeColor="text1"/>
          <w14:textFill>
            <w14:solidFill>
              <w14:schemeClr w14:val="tx1"/>
            </w14:solidFill>
          </w14:textFill>
        </w:rPr>
      </w:pPr>
    </w:p>
    <w:p w14:paraId="31070DE2">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3"/>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37683CE6">
      <w:pPr>
        <w:pStyle w:val="4"/>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79AFB34-A241-486D-9427-E402C8B4BC2C}"/>
  </w:font>
  <w:font w:name="黑体">
    <w:panose1 w:val="02010609060101010101"/>
    <w:charset w:val="86"/>
    <w:family w:val="auto"/>
    <w:pitch w:val="default"/>
    <w:sig w:usb0="800002BF" w:usb1="38CF7CFA" w:usb2="00000016" w:usb3="00000000" w:csb0="00040001" w:csb1="00000000"/>
    <w:embedRegular r:id="rId2" w:fontKey="{6A493CAA-23FB-4F93-A1DF-2A19BD9EDB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9E69B51-6649-411B-8549-DE6557AE62B8}"/>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3EB2C563-0783-4053-BDD1-44D95BFECA81}"/>
  </w:font>
  <w:font w:name="楷体_GB2312">
    <w:panose1 w:val="02010609030101010101"/>
    <w:charset w:val="86"/>
    <w:family w:val="modern"/>
    <w:pitch w:val="default"/>
    <w:sig w:usb0="00000001" w:usb1="080E0000" w:usb2="00000000" w:usb3="00000000" w:csb0="00040000" w:csb1="00000000"/>
    <w:embedRegular r:id="rId5" w:fontKey="{2CEA30BD-4A13-43C8-8B8D-AF9B43FBEFE0}"/>
  </w:font>
  <w:font w:name="方正小标宋_GBK">
    <w:panose1 w:val="02000000000000000000"/>
    <w:charset w:val="86"/>
    <w:family w:val="auto"/>
    <w:pitch w:val="default"/>
    <w:sig w:usb0="A00002BF" w:usb1="38CF7CFA" w:usb2="00082016" w:usb3="00000000" w:csb0="00040001" w:csb1="00000000"/>
    <w:embedRegular r:id="rId6" w:fontKey="{FE8FCB00-D061-446F-A166-9BD5AC882A92}"/>
  </w:font>
  <w:font w:name="方正仿宋_GBK">
    <w:panose1 w:val="02000000000000000000"/>
    <w:charset w:val="86"/>
    <w:family w:val="auto"/>
    <w:pitch w:val="default"/>
    <w:sig w:usb0="A00002BF" w:usb1="38CF7CFA" w:usb2="00082016" w:usb3="00000000" w:csb0="00040001" w:csb1="00000000"/>
    <w:embedRegular r:id="rId7" w:fontKey="{E9758661-7DB6-49B1-BFF4-F94330CDA266}"/>
  </w:font>
  <w:font w:name="仿宋">
    <w:panose1 w:val="02010609060101010101"/>
    <w:charset w:val="86"/>
    <w:family w:val="auto"/>
    <w:pitch w:val="default"/>
    <w:sig w:usb0="800002BF" w:usb1="38CF7CFA" w:usb2="00000016" w:usb3="00000000" w:csb0="00040001" w:csb1="00000000"/>
    <w:embedRegular r:id="rId8" w:fontKey="{A8BD1224-18B8-43A1-BD62-14D1191EE5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5235BBF"/>
    <w:rsid w:val="05616943"/>
    <w:rsid w:val="057A6F83"/>
    <w:rsid w:val="06574153"/>
    <w:rsid w:val="07B132EE"/>
    <w:rsid w:val="08971538"/>
    <w:rsid w:val="09A23D87"/>
    <w:rsid w:val="0C006D9B"/>
    <w:rsid w:val="0C391C75"/>
    <w:rsid w:val="0C460641"/>
    <w:rsid w:val="0D046532"/>
    <w:rsid w:val="0E5A3EAC"/>
    <w:rsid w:val="105E328D"/>
    <w:rsid w:val="10E46038"/>
    <w:rsid w:val="118916FB"/>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863EE4"/>
    <w:rsid w:val="1BC96078"/>
    <w:rsid w:val="1D524DB7"/>
    <w:rsid w:val="1E4B2C37"/>
    <w:rsid w:val="1E6225BB"/>
    <w:rsid w:val="1EA31154"/>
    <w:rsid w:val="1EC21A64"/>
    <w:rsid w:val="1EC92A20"/>
    <w:rsid w:val="1F0E4671"/>
    <w:rsid w:val="206C021E"/>
    <w:rsid w:val="20A951E7"/>
    <w:rsid w:val="20CA13E8"/>
    <w:rsid w:val="226D193C"/>
    <w:rsid w:val="22E23D79"/>
    <w:rsid w:val="257C3B72"/>
    <w:rsid w:val="260C121F"/>
    <w:rsid w:val="26BA2DC8"/>
    <w:rsid w:val="26E30BFE"/>
    <w:rsid w:val="28994243"/>
    <w:rsid w:val="28E66D39"/>
    <w:rsid w:val="2B4431B2"/>
    <w:rsid w:val="2CA37518"/>
    <w:rsid w:val="2FFE5B53"/>
    <w:rsid w:val="31A368A5"/>
    <w:rsid w:val="31F0483A"/>
    <w:rsid w:val="3220530C"/>
    <w:rsid w:val="32CA33D5"/>
    <w:rsid w:val="32E43D91"/>
    <w:rsid w:val="33976056"/>
    <w:rsid w:val="34804ED0"/>
    <w:rsid w:val="34EC7159"/>
    <w:rsid w:val="377C1237"/>
    <w:rsid w:val="37AF7C77"/>
    <w:rsid w:val="3B223EA3"/>
    <w:rsid w:val="3B257EFE"/>
    <w:rsid w:val="3C646ABC"/>
    <w:rsid w:val="3C691FB0"/>
    <w:rsid w:val="3CA8662A"/>
    <w:rsid w:val="3D1E68EC"/>
    <w:rsid w:val="3F8E7211"/>
    <w:rsid w:val="3FF839D9"/>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A92F5C"/>
    <w:rsid w:val="563034C0"/>
    <w:rsid w:val="56A8222D"/>
    <w:rsid w:val="56D62531"/>
    <w:rsid w:val="571E1031"/>
    <w:rsid w:val="5731653C"/>
    <w:rsid w:val="58A65CBC"/>
    <w:rsid w:val="58D6764A"/>
    <w:rsid w:val="59B57910"/>
    <w:rsid w:val="59D52356"/>
    <w:rsid w:val="5D582E82"/>
    <w:rsid w:val="5E445D2E"/>
    <w:rsid w:val="5F795ED8"/>
    <w:rsid w:val="6279082B"/>
    <w:rsid w:val="62C31218"/>
    <w:rsid w:val="6370314E"/>
    <w:rsid w:val="64747F00"/>
    <w:rsid w:val="64FD6B36"/>
    <w:rsid w:val="65EB0E69"/>
    <w:rsid w:val="66746855"/>
    <w:rsid w:val="667F60B7"/>
    <w:rsid w:val="66F35A29"/>
    <w:rsid w:val="678F10BD"/>
    <w:rsid w:val="68537464"/>
    <w:rsid w:val="68C57F09"/>
    <w:rsid w:val="6BBB4685"/>
    <w:rsid w:val="6CF272CA"/>
    <w:rsid w:val="6D0131CD"/>
    <w:rsid w:val="6D016897"/>
    <w:rsid w:val="6D116F45"/>
    <w:rsid w:val="6EC33740"/>
    <w:rsid w:val="6EE658EC"/>
    <w:rsid w:val="6FA2234A"/>
    <w:rsid w:val="6FC00FB9"/>
    <w:rsid w:val="6FD30157"/>
    <w:rsid w:val="715916C6"/>
    <w:rsid w:val="726C5429"/>
    <w:rsid w:val="749018A2"/>
    <w:rsid w:val="75F0011F"/>
    <w:rsid w:val="7686731E"/>
    <w:rsid w:val="76953F07"/>
    <w:rsid w:val="778C2829"/>
    <w:rsid w:val="77D7083D"/>
    <w:rsid w:val="77E9764D"/>
    <w:rsid w:val="78135BBF"/>
    <w:rsid w:val="78387804"/>
    <w:rsid w:val="7A546ECE"/>
    <w:rsid w:val="7AB53611"/>
    <w:rsid w:val="7B646DB9"/>
    <w:rsid w:val="7CCA4BCF"/>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qFormat/>
    <w:uiPriority w:val="0"/>
    <w:rPr>
      <w:kern w:val="2"/>
      <w:sz w:val="18"/>
      <w:szCs w:val="18"/>
    </w:rPr>
  </w:style>
  <w:style w:type="character" w:customStyle="1" w:styleId="22">
    <w:name w:val="页脚 Char"/>
    <w:link w:val="10"/>
    <w:qFormat/>
    <w:uiPriority w:val="0"/>
    <w:rPr>
      <w:kern w:val="2"/>
      <w:sz w:val="18"/>
      <w:szCs w:val="18"/>
    </w:rPr>
  </w:style>
  <w:style w:type="character" w:customStyle="1" w:styleId="23">
    <w:name w:val="正文文本缩进 Char"/>
    <w:link w:val="5"/>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22</Pages>
  <Words>9121</Words>
  <Characters>9341</Characters>
  <Lines>30</Lines>
  <Paragraphs>8</Paragraphs>
  <TotalTime>4</TotalTime>
  <ScaleCrop>false</ScaleCrop>
  <LinksUpToDate>false</LinksUpToDate>
  <CharactersWithSpaces>10501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范文洲</cp:lastModifiedBy>
  <cp:lastPrinted>2025-05-16T06:20:00Z</cp:lastPrinted>
  <dcterms:modified xsi:type="dcterms:W3CDTF">2025-06-27T09:46:17Z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BC45F49CE6374AD093D543CCF61E5777_13</vt:lpwstr>
  </property>
  <property fmtid="{D5CDD505-2E9C-101B-9397-08002B2CF9AE}" pid="4" name="KSOTemplateDocerSaveRecord">
    <vt:lpwstr>eyJoZGlkIjoiZTZmYTUzMDI2OTQ2ZDhhYTk4NGE3MGUyNWZiOTM3NzIiLCJ1c2VySWQiOiIxNjQ1Mzc3MjM2In0=</vt:lpwstr>
  </property>
</Properties>
</file>