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6"/>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6E93328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生态科技新城杭集镇2025年污水处理提质增效工程EPC工程总承包</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石材材料采购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6"/>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8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12 </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57"/>
        <w:gridCol w:w="1942"/>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57"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D4E268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生态科技新城杭集镇2025年污水处理提质增效工程EPC工程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57"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57"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57"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57"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57"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57"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57"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8</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12 </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14</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57"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172"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57"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42"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57"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57"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6"/>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57"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bookmarkStart w:id="2" w:name="_GoBack"/>
      <w:bookmarkEnd w:id="2"/>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6"/>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szCs w:val="21"/>
          <w:lang w:val="en-US" w:eastAsia="zh-CN"/>
        </w:rPr>
        <w:t>材料采购</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79"/>
        <w:gridCol w:w="1350"/>
        <w:gridCol w:w="750"/>
        <w:gridCol w:w="915"/>
        <w:gridCol w:w="1575"/>
        <w:gridCol w:w="1590"/>
        <w:gridCol w:w="1530"/>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66" w:type="dxa"/>
            <w:shd w:val="clear" w:color="auto" w:fill="auto"/>
            <w:vAlign w:val="center"/>
          </w:tcPr>
          <w:p w14:paraId="51E9DF18">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1479" w:type="dxa"/>
            <w:shd w:val="clear" w:color="auto" w:fill="auto"/>
            <w:vAlign w:val="center"/>
          </w:tcPr>
          <w:p w14:paraId="69BE5FD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350" w:type="dxa"/>
            <w:shd w:val="clear" w:color="auto" w:fill="auto"/>
            <w:vAlign w:val="center"/>
          </w:tcPr>
          <w:p w14:paraId="7063CC3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750" w:type="dxa"/>
            <w:shd w:val="clear" w:color="auto" w:fill="auto"/>
            <w:vAlign w:val="center"/>
          </w:tcPr>
          <w:p w14:paraId="3BAD5D81">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15" w:type="dxa"/>
            <w:shd w:val="clear" w:color="auto" w:fill="auto"/>
            <w:vAlign w:val="center"/>
          </w:tcPr>
          <w:p w14:paraId="2F6FC91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575" w:type="dxa"/>
            <w:shd w:val="clear" w:color="auto" w:fill="auto"/>
            <w:vAlign w:val="center"/>
          </w:tcPr>
          <w:p w14:paraId="1A6D60C5">
            <w:pPr>
              <w:pStyle w:val="6"/>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最高限价</w:t>
            </w:r>
          </w:p>
          <w:p w14:paraId="0FCEADCB">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590" w:type="dxa"/>
            <w:shd w:val="clear" w:color="auto" w:fill="auto"/>
            <w:vAlign w:val="center"/>
          </w:tcPr>
          <w:p w14:paraId="57B94FDB">
            <w:pPr>
              <w:pStyle w:val="6"/>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总价</w:t>
            </w:r>
          </w:p>
          <w:p w14:paraId="204CA9B3">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530" w:type="dxa"/>
            <w:shd w:val="clear" w:color="auto" w:fill="auto"/>
            <w:vAlign w:val="center"/>
          </w:tcPr>
          <w:p w14:paraId="6B2ADE2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1479"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平石</w:t>
            </w:r>
          </w:p>
        </w:tc>
        <w:tc>
          <w:tcPr>
            <w:tcW w:w="1350" w:type="dxa"/>
            <w:vAlign w:val="center"/>
          </w:tcPr>
          <w:p w14:paraId="495645E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70*300*500mm</w:t>
            </w:r>
          </w:p>
        </w:tc>
        <w:tc>
          <w:tcPr>
            <w:tcW w:w="750"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vAlign w:val="center"/>
          </w:tcPr>
          <w:p w14:paraId="0A2C1327">
            <w:pPr>
              <w:keepNext w:val="0"/>
              <w:keepLines w:val="0"/>
              <w:widowControl/>
              <w:suppressLineNumbers w:val="0"/>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3329</w:t>
            </w:r>
          </w:p>
        </w:tc>
        <w:tc>
          <w:tcPr>
            <w:tcW w:w="1575"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590"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203069</w:t>
            </w:r>
          </w:p>
        </w:tc>
        <w:tc>
          <w:tcPr>
            <w:tcW w:w="1530" w:type="dxa"/>
            <w:vAlign w:val="center"/>
          </w:tcPr>
          <w:p w14:paraId="5E75AF30">
            <w:pPr>
              <w:jc w:val="center"/>
              <w:rPr>
                <w:rFonts w:hint="default"/>
                <w:vertAlign w:val="baseline"/>
                <w:lang w:val="en-US" w:eastAsia="zh-CN"/>
              </w:rPr>
            </w:pPr>
          </w:p>
        </w:tc>
      </w:tr>
      <w:tr w14:paraId="6580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66" w:type="dxa"/>
            <w:vAlign w:val="center"/>
          </w:tcPr>
          <w:p w14:paraId="09E87AEB">
            <w:pPr>
              <w:jc w:val="center"/>
              <w:rPr>
                <w:rFonts w:hint="default"/>
                <w:vertAlign w:val="baseline"/>
                <w:lang w:val="en-US" w:eastAsia="zh-CN"/>
              </w:rPr>
            </w:pPr>
            <w:r>
              <w:rPr>
                <w:rFonts w:hint="eastAsia"/>
                <w:vertAlign w:val="baseline"/>
                <w:lang w:val="en-US" w:eastAsia="zh-CN"/>
              </w:rPr>
              <w:t>2</w:t>
            </w:r>
          </w:p>
        </w:tc>
        <w:tc>
          <w:tcPr>
            <w:tcW w:w="1479" w:type="dxa"/>
            <w:vAlign w:val="center"/>
          </w:tcPr>
          <w:p w14:paraId="1BD08B7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边石</w:t>
            </w:r>
          </w:p>
        </w:tc>
        <w:tc>
          <w:tcPr>
            <w:tcW w:w="1350" w:type="dxa"/>
            <w:vAlign w:val="center"/>
          </w:tcPr>
          <w:p w14:paraId="367DFB9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75*200*990mm</w:t>
            </w:r>
          </w:p>
        </w:tc>
        <w:tc>
          <w:tcPr>
            <w:tcW w:w="750" w:type="dxa"/>
            <w:vAlign w:val="center"/>
          </w:tcPr>
          <w:p w14:paraId="705A26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vAlign w:val="center"/>
          </w:tcPr>
          <w:p w14:paraId="2DE8C388">
            <w:pPr>
              <w:keepNext w:val="0"/>
              <w:keepLines w:val="0"/>
              <w:widowControl/>
              <w:suppressLineNumbers w:val="0"/>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3334 </w:t>
            </w:r>
          </w:p>
        </w:tc>
        <w:tc>
          <w:tcPr>
            <w:tcW w:w="1575" w:type="dxa"/>
            <w:shd w:val="clear" w:color="auto" w:fill="auto"/>
            <w:vAlign w:val="center"/>
          </w:tcPr>
          <w:p w14:paraId="13E733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590" w:type="dxa"/>
            <w:vAlign w:val="center"/>
          </w:tcPr>
          <w:p w14:paraId="62A3FAA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106688</w:t>
            </w:r>
          </w:p>
        </w:tc>
        <w:tc>
          <w:tcPr>
            <w:tcW w:w="1530" w:type="dxa"/>
            <w:vAlign w:val="center"/>
          </w:tcPr>
          <w:p w14:paraId="317FFD32">
            <w:pPr>
              <w:jc w:val="center"/>
              <w:rPr>
                <w:rFonts w:hint="eastAsia"/>
                <w:vertAlign w:val="baseline"/>
                <w:lang w:val="en-US" w:eastAsia="zh-CN"/>
              </w:rPr>
            </w:pPr>
          </w:p>
        </w:tc>
      </w:tr>
      <w:tr w14:paraId="384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66" w:type="dxa"/>
            <w:vAlign w:val="center"/>
          </w:tcPr>
          <w:p w14:paraId="36060160">
            <w:pPr>
              <w:jc w:val="center"/>
              <w:rPr>
                <w:rFonts w:hint="default"/>
                <w:vertAlign w:val="baseline"/>
                <w:lang w:val="en-US" w:eastAsia="zh-CN"/>
              </w:rPr>
            </w:pPr>
            <w:r>
              <w:rPr>
                <w:rFonts w:hint="eastAsia"/>
                <w:vertAlign w:val="baseline"/>
                <w:lang w:val="en-US" w:eastAsia="zh-CN"/>
              </w:rPr>
              <w:t>3</w:t>
            </w:r>
          </w:p>
        </w:tc>
        <w:tc>
          <w:tcPr>
            <w:tcW w:w="1479" w:type="dxa"/>
            <w:vAlign w:val="center"/>
          </w:tcPr>
          <w:p w14:paraId="72784DB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侧石</w:t>
            </w:r>
          </w:p>
        </w:tc>
        <w:tc>
          <w:tcPr>
            <w:tcW w:w="1350" w:type="dxa"/>
            <w:vAlign w:val="center"/>
          </w:tcPr>
          <w:p w14:paraId="556F80E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125*275*1000，倒角10*10</w:t>
            </w:r>
          </w:p>
        </w:tc>
        <w:tc>
          <w:tcPr>
            <w:tcW w:w="750" w:type="dxa"/>
            <w:vAlign w:val="center"/>
          </w:tcPr>
          <w:p w14:paraId="496FAE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vAlign w:val="center"/>
          </w:tcPr>
          <w:p w14:paraId="7339946B">
            <w:pPr>
              <w:keepNext w:val="0"/>
              <w:keepLines w:val="0"/>
              <w:widowControl/>
              <w:suppressLineNumbers w:val="0"/>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3523</w:t>
            </w:r>
          </w:p>
        </w:tc>
        <w:tc>
          <w:tcPr>
            <w:tcW w:w="1575" w:type="dxa"/>
            <w:shd w:val="clear" w:color="auto" w:fill="auto"/>
            <w:vAlign w:val="center"/>
          </w:tcPr>
          <w:p w14:paraId="652878B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1590" w:type="dxa"/>
            <w:vAlign w:val="center"/>
          </w:tcPr>
          <w:p w14:paraId="70230F0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204334</w:t>
            </w:r>
          </w:p>
        </w:tc>
        <w:tc>
          <w:tcPr>
            <w:tcW w:w="1530" w:type="dxa"/>
            <w:vAlign w:val="center"/>
          </w:tcPr>
          <w:p w14:paraId="1D9E033C">
            <w:pPr>
              <w:jc w:val="center"/>
              <w:rPr>
                <w:rFonts w:hint="default"/>
                <w:vertAlign w:val="baseline"/>
                <w:lang w:val="en-US" w:eastAsia="zh-CN"/>
              </w:rPr>
            </w:pPr>
          </w:p>
        </w:tc>
      </w:tr>
      <w:tr w14:paraId="5D6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66" w:type="dxa"/>
            <w:vAlign w:val="center"/>
          </w:tcPr>
          <w:p w14:paraId="0E14F68C">
            <w:pPr>
              <w:jc w:val="center"/>
              <w:rPr>
                <w:rFonts w:hint="default"/>
                <w:vertAlign w:val="baseline"/>
                <w:lang w:val="en-US" w:eastAsia="zh-CN"/>
              </w:rPr>
            </w:pPr>
            <w:r>
              <w:rPr>
                <w:rFonts w:hint="eastAsia"/>
                <w:vertAlign w:val="baseline"/>
                <w:lang w:val="en-US" w:eastAsia="zh-CN"/>
              </w:rPr>
              <w:t>4</w:t>
            </w:r>
          </w:p>
        </w:tc>
        <w:tc>
          <w:tcPr>
            <w:tcW w:w="1479" w:type="dxa"/>
            <w:vAlign w:val="center"/>
          </w:tcPr>
          <w:p w14:paraId="27A96A5C">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2"/>
                <w:szCs w:val="22"/>
                <w:u w:val="none"/>
                <w:lang w:val="en-US" w:eastAsia="zh-CN" w:bidi="ar"/>
              </w:rPr>
              <w:t>普通</w:t>
            </w: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侧石</w:t>
            </w:r>
          </w:p>
        </w:tc>
        <w:tc>
          <w:tcPr>
            <w:tcW w:w="1350" w:type="dxa"/>
            <w:vAlign w:val="center"/>
          </w:tcPr>
          <w:p w14:paraId="174C87E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100*320*25，倒角10*10</w:t>
            </w:r>
          </w:p>
        </w:tc>
        <w:tc>
          <w:tcPr>
            <w:tcW w:w="750" w:type="dxa"/>
            <w:vAlign w:val="center"/>
          </w:tcPr>
          <w:p w14:paraId="5C84C95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4E97AA2C">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4021 </w:t>
            </w:r>
          </w:p>
        </w:tc>
        <w:tc>
          <w:tcPr>
            <w:tcW w:w="1575" w:type="dxa"/>
            <w:shd w:val="clear" w:color="auto" w:fill="auto"/>
            <w:vAlign w:val="center"/>
          </w:tcPr>
          <w:p w14:paraId="6BAD306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116</w:t>
            </w:r>
          </w:p>
        </w:tc>
        <w:tc>
          <w:tcPr>
            <w:tcW w:w="1590" w:type="dxa"/>
            <w:vAlign w:val="center"/>
          </w:tcPr>
          <w:p w14:paraId="5937CF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466436</w:t>
            </w:r>
          </w:p>
        </w:tc>
        <w:tc>
          <w:tcPr>
            <w:tcW w:w="1530" w:type="dxa"/>
            <w:vAlign w:val="center"/>
          </w:tcPr>
          <w:p w14:paraId="5EC5BCB8">
            <w:pPr>
              <w:jc w:val="center"/>
              <w:rPr>
                <w:rFonts w:hint="default"/>
                <w:vertAlign w:val="baseline"/>
                <w:lang w:val="en-US" w:eastAsia="zh-CN"/>
              </w:rPr>
            </w:pPr>
            <w:r>
              <w:rPr>
                <w:rFonts w:hint="eastAsia"/>
                <w:vertAlign w:val="baseline"/>
                <w:lang w:val="en-US" w:eastAsia="zh-CN"/>
              </w:rPr>
              <w:t>见图1</w:t>
            </w:r>
          </w:p>
        </w:tc>
      </w:tr>
      <w:tr w14:paraId="3DA9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6" w:type="dxa"/>
            <w:vAlign w:val="center"/>
          </w:tcPr>
          <w:p w14:paraId="2713356A">
            <w:pPr>
              <w:jc w:val="center"/>
              <w:rPr>
                <w:rFonts w:hint="default"/>
                <w:vertAlign w:val="baseline"/>
                <w:lang w:val="en-US" w:eastAsia="zh-CN"/>
              </w:rPr>
            </w:pPr>
            <w:r>
              <w:rPr>
                <w:rFonts w:hint="eastAsia"/>
                <w:vertAlign w:val="baseline"/>
                <w:lang w:val="en-US" w:eastAsia="zh-CN"/>
              </w:rPr>
              <w:t>5</w:t>
            </w:r>
          </w:p>
        </w:tc>
        <w:tc>
          <w:tcPr>
            <w:tcW w:w="1479" w:type="dxa"/>
            <w:vAlign w:val="center"/>
          </w:tcPr>
          <w:p w14:paraId="7A3E46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普通花岗岩侧石（圆弧段）R0.75</w:t>
            </w:r>
          </w:p>
        </w:tc>
        <w:tc>
          <w:tcPr>
            <w:tcW w:w="1350" w:type="dxa"/>
            <w:vAlign w:val="center"/>
          </w:tcPr>
          <w:p w14:paraId="5A3F57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125*275   倒角10*10，芝麻灰花岗岩，侧分带断面宽度1.5m</w:t>
            </w:r>
          </w:p>
        </w:tc>
        <w:tc>
          <w:tcPr>
            <w:tcW w:w="750" w:type="dxa"/>
            <w:vAlign w:val="center"/>
          </w:tcPr>
          <w:p w14:paraId="3DDC4E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31C776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575" w:type="dxa"/>
            <w:shd w:val="clear" w:color="auto" w:fill="auto"/>
            <w:vAlign w:val="center"/>
          </w:tcPr>
          <w:p w14:paraId="5E4137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1590" w:type="dxa"/>
            <w:vAlign w:val="center"/>
          </w:tcPr>
          <w:p w14:paraId="20F6A5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3648</w:t>
            </w:r>
          </w:p>
        </w:tc>
        <w:tc>
          <w:tcPr>
            <w:tcW w:w="1530" w:type="dxa"/>
            <w:vAlign w:val="center"/>
          </w:tcPr>
          <w:p w14:paraId="6E89D47A">
            <w:pPr>
              <w:jc w:val="center"/>
              <w:rPr>
                <w:rFonts w:hint="eastAsia" w:cs="Times New Roman"/>
                <w:color w:val="000000"/>
                <w:kern w:val="2"/>
                <w:sz w:val="21"/>
                <w:szCs w:val="24"/>
                <w:lang w:val="en-US" w:eastAsia="zh-CN" w:bidi="ar-SA"/>
              </w:rPr>
            </w:pPr>
          </w:p>
        </w:tc>
      </w:tr>
      <w:tr w14:paraId="66DE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66" w:type="dxa"/>
            <w:vAlign w:val="center"/>
          </w:tcPr>
          <w:p w14:paraId="1606435F">
            <w:pPr>
              <w:jc w:val="center"/>
              <w:rPr>
                <w:rFonts w:hint="default"/>
                <w:vertAlign w:val="baseline"/>
                <w:lang w:val="en-US" w:eastAsia="zh-CN"/>
              </w:rPr>
            </w:pPr>
            <w:r>
              <w:rPr>
                <w:rFonts w:hint="eastAsia"/>
                <w:vertAlign w:val="baseline"/>
                <w:lang w:val="en-US" w:eastAsia="zh-CN"/>
              </w:rPr>
              <w:t>6</w:t>
            </w:r>
          </w:p>
        </w:tc>
        <w:tc>
          <w:tcPr>
            <w:tcW w:w="1479" w:type="dxa"/>
            <w:shd w:val="clear" w:color="auto" w:fill="auto"/>
            <w:vAlign w:val="center"/>
          </w:tcPr>
          <w:p w14:paraId="09E317FB">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普通花岗岩侧石（圆弧段）R1.25</w:t>
            </w:r>
          </w:p>
        </w:tc>
        <w:tc>
          <w:tcPr>
            <w:tcW w:w="1350" w:type="dxa"/>
            <w:shd w:val="clear" w:color="auto" w:fill="auto"/>
            <w:vAlign w:val="center"/>
          </w:tcPr>
          <w:p w14:paraId="6755E08F">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125*275  倒角10*10，芝麻灰花岗岩，侧分带断面宽度2.5m</w:t>
            </w:r>
          </w:p>
        </w:tc>
        <w:tc>
          <w:tcPr>
            <w:tcW w:w="750" w:type="dxa"/>
            <w:vAlign w:val="center"/>
          </w:tcPr>
          <w:p w14:paraId="1E6B441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6E657ACA">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8</w:t>
            </w:r>
          </w:p>
        </w:tc>
        <w:tc>
          <w:tcPr>
            <w:tcW w:w="1575" w:type="dxa"/>
            <w:shd w:val="clear" w:color="auto" w:fill="auto"/>
            <w:vAlign w:val="center"/>
          </w:tcPr>
          <w:p w14:paraId="2F05779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152</w:t>
            </w:r>
          </w:p>
        </w:tc>
        <w:tc>
          <w:tcPr>
            <w:tcW w:w="1590" w:type="dxa"/>
            <w:vAlign w:val="center"/>
          </w:tcPr>
          <w:p w14:paraId="7014760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11856</w:t>
            </w:r>
          </w:p>
        </w:tc>
        <w:tc>
          <w:tcPr>
            <w:tcW w:w="1530" w:type="dxa"/>
            <w:vAlign w:val="center"/>
          </w:tcPr>
          <w:p w14:paraId="3566F020">
            <w:pPr>
              <w:jc w:val="center"/>
              <w:rPr>
                <w:rFonts w:hint="eastAsia" w:cs="Times New Roman"/>
                <w:color w:val="000000"/>
                <w:kern w:val="2"/>
                <w:sz w:val="21"/>
                <w:szCs w:val="24"/>
                <w:lang w:val="en-US" w:eastAsia="zh-CN" w:bidi="ar-SA"/>
              </w:rPr>
            </w:pPr>
          </w:p>
        </w:tc>
      </w:tr>
      <w:tr w14:paraId="4E08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6" w:type="dxa"/>
            <w:vAlign w:val="center"/>
          </w:tcPr>
          <w:p w14:paraId="5B67789C">
            <w:pPr>
              <w:jc w:val="center"/>
              <w:rPr>
                <w:rFonts w:hint="default"/>
                <w:vertAlign w:val="baseline"/>
                <w:lang w:val="en-US" w:eastAsia="zh-CN"/>
              </w:rPr>
            </w:pPr>
            <w:r>
              <w:rPr>
                <w:rFonts w:hint="eastAsia"/>
                <w:vertAlign w:val="baseline"/>
                <w:lang w:val="en-US" w:eastAsia="zh-CN"/>
              </w:rPr>
              <w:t>7</w:t>
            </w:r>
          </w:p>
        </w:tc>
        <w:tc>
          <w:tcPr>
            <w:tcW w:w="1479" w:type="dxa"/>
            <w:shd w:val="clear" w:color="auto" w:fill="auto"/>
            <w:vAlign w:val="center"/>
          </w:tcPr>
          <w:p w14:paraId="61525475">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普通花岗岩侧石（圆弧段）R1.5</w:t>
            </w:r>
          </w:p>
        </w:tc>
        <w:tc>
          <w:tcPr>
            <w:tcW w:w="1350" w:type="dxa"/>
            <w:shd w:val="clear" w:color="auto" w:fill="auto"/>
            <w:vAlign w:val="center"/>
          </w:tcPr>
          <w:p w14:paraId="0981AD21">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125*275   倒角10*10，芝麻灰花岗岩，侧分带断面宽度3m</w:t>
            </w:r>
          </w:p>
        </w:tc>
        <w:tc>
          <w:tcPr>
            <w:tcW w:w="750" w:type="dxa"/>
            <w:vAlign w:val="center"/>
          </w:tcPr>
          <w:p w14:paraId="5841FF2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0AB2DEC8">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575" w:type="dxa"/>
            <w:shd w:val="clear" w:color="auto" w:fill="auto"/>
            <w:vAlign w:val="center"/>
          </w:tcPr>
          <w:p w14:paraId="06DD86A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152</w:t>
            </w:r>
          </w:p>
        </w:tc>
        <w:tc>
          <w:tcPr>
            <w:tcW w:w="1590" w:type="dxa"/>
            <w:vAlign w:val="center"/>
          </w:tcPr>
          <w:p w14:paraId="2B5C4D0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7144</w:t>
            </w:r>
          </w:p>
        </w:tc>
        <w:tc>
          <w:tcPr>
            <w:tcW w:w="1530" w:type="dxa"/>
            <w:vAlign w:val="center"/>
          </w:tcPr>
          <w:p w14:paraId="7BB7AB1E">
            <w:pPr>
              <w:jc w:val="center"/>
              <w:rPr>
                <w:rFonts w:hint="eastAsia" w:cs="Times New Roman"/>
                <w:color w:val="000000"/>
                <w:kern w:val="2"/>
                <w:sz w:val="21"/>
                <w:szCs w:val="24"/>
                <w:lang w:val="en-US" w:eastAsia="zh-CN" w:bidi="ar-SA"/>
              </w:rPr>
            </w:pPr>
          </w:p>
        </w:tc>
      </w:tr>
      <w:tr w14:paraId="658F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6" w:type="dxa"/>
            <w:vAlign w:val="center"/>
          </w:tcPr>
          <w:p w14:paraId="3831D15F">
            <w:pPr>
              <w:jc w:val="center"/>
              <w:rPr>
                <w:rFonts w:hint="default"/>
                <w:vertAlign w:val="baseline"/>
                <w:lang w:val="en-US" w:eastAsia="zh-CN"/>
              </w:rPr>
            </w:pPr>
            <w:r>
              <w:rPr>
                <w:rFonts w:hint="eastAsia"/>
                <w:vertAlign w:val="baseline"/>
                <w:lang w:val="en-US" w:eastAsia="zh-CN"/>
              </w:rPr>
              <w:t>8</w:t>
            </w:r>
          </w:p>
        </w:tc>
        <w:tc>
          <w:tcPr>
            <w:tcW w:w="1479" w:type="dxa"/>
            <w:shd w:val="clear" w:color="auto" w:fill="auto"/>
            <w:vAlign w:val="center"/>
          </w:tcPr>
          <w:p w14:paraId="56A89E41">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cs="宋体"/>
                <w:i w:val="0"/>
                <w:iCs w:val="0"/>
                <w:color w:val="000000"/>
                <w:kern w:val="0"/>
                <w:sz w:val="22"/>
                <w:szCs w:val="22"/>
                <w:u w:val="none"/>
                <w:lang w:val="en-US" w:eastAsia="zh-CN" w:bidi="ar"/>
              </w:rPr>
              <w:t>花饰</w:t>
            </w: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侧石</w:t>
            </w:r>
          </w:p>
        </w:tc>
        <w:tc>
          <w:tcPr>
            <w:tcW w:w="1350" w:type="dxa"/>
            <w:shd w:val="clear" w:color="auto" w:fill="auto"/>
            <w:vAlign w:val="center"/>
          </w:tcPr>
          <w:p w14:paraId="17253D04">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100*320*25，倒角10*10</w:t>
            </w:r>
          </w:p>
        </w:tc>
        <w:tc>
          <w:tcPr>
            <w:tcW w:w="750" w:type="dxa"/>
            <w:vAlign w:val="center"/>
          </w:tcPr>
          <w:p w14:paraId="6068342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042E5173">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1012</w:t>
            </w:r>
          </w:p>
        </w:tc>
        <w:tc>
          <w:tcPr>
            <w:tcW w:w="1575" w:type="dxa"/>
            <w:shd w:val="clear" w:color="auto" w:fill="auto"/>
            <w:vAlign w:val="center"/>
          </w:tcPr>
          <w:p w14:paraId="5A7D76E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150</w:t>
            </w:r>
          </w:p>
        </w:tc>
        <w:tc>
          <w:tcPr>
            <w:tcW w:w="1590" w:type="dxa"/>
            <w:vAlign w:val="center"/>
          </w:tcPr>
          <w:p w14:paraId="45631FD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151800</w:t>
            </w:r>
          </w:p>
        </w:tc>
        <w:tc>
          <w:tcPr>
            <w:tcW w:w="1530" w:type="dxa"/>
            <w:vAlign w:val="center"/>
          </w:tcPr>
          <w:p w14:paraId="44A87D84">
            <w:pPr>
              <w:jc w:val="center"/>
              <w:rPr>
                <w:rFonts w:hint="default" w:cs="Times New Roman"/>
                <w:color w:val="000000"/>
                <w:kern w:val="2"/>
                <w:sz w:val="21"/>
                <w:szCs w:val="24"/>
                <w:lang w:val="en-US" w:eastAsia="zh-CN" w:bidi="ar-SA"/>
              </w:rPr>
            </w:pPr>
            <w:r>
              <w:rPr>
                <w:rFonts w:hint="eastAsia"/>
                <w:vertAlign w:val="baseline"/>
                <w:lang w:val="en-US" w:eastAsia="zh-CN"/>
              </w:rPr>
              <w:t>见图2</w:t>
            </w: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66"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1479"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14:paraId="317C8DB3">
            <w:pPr>
              <w:jc w:val="center"/>
              <w:rPr>
                <w:rFonts w:hint="default"/>
                <w:vertAlign w:val="baseline"/>
                <w:lang w:val="en-US" w:eastAsia="zh-CN"/>
              </w:rPr>
            </w:pPr>
          </w:p>
        </w:tc>
        <w:tc>
          <w:tcPr>
            <w:tcW w:w="750"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915"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575"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590" w:type="dxa"/>
            <w:shd w:val="clear" w:color="auto" w:fill="auto"/>
            <w:vAlign w:val="center"/>
          </w:tcPr>
          <w:p w14:paraId="75205A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 xml:space="preserve"> 1154975</w:t>
            </w:r>
          </w:p>
        </w:tc>
        <w:tc>
          <w:tcPr>
            <w:tcW w:w="1530" w:type="dxa"/>
            <w:vAlign w:val="center"/>
          </w:tcPr>
          <w:p w14:paraId="629E1A63">
            <w:pPr>
              <w:jc w:val="center"/>
              <w:rPr>
                <w:rFonts w:hint="default"/>
                <w:vertAlign w:val="baseline"/>
                <w:lang w:val="en-US" w:eastAsia="zh-CN"/>
              </w:rPr>
            </w:pPr>
          </w:p>
        </w:tc>
      </w:tr>
    </w:tbl>
    <w:p w14:paraId="620F7424">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3、结算方式：中标材料单价（含13%税）*对应材料数量=结算总价（含13%税）</w:t>
      </w:r>
    </w:p>
    <w:p w14:paraId="2392450B">
      <w:pPr>
        <w:numPr>
          <w:ilvl w:val="0"/>
          <w:numId w:val="0"/>
        </w:numPr>
        <w:autoSpaceDE w:val="0"/>
        <w:autoSpaceDN w:val="0"/>
        <w:adjustRightInd w:val="0"/>
        <w:snapToGrid w:val="0"/>
        <w:spacing w:line="480" w:lineRule="exact"/>
        <w:ind w:firstLine="420" w:firstLineChars="200"/>
        <w:rPr>
          <w:rFonts w:hint="eastAsia" w:ascii="宋体" w:hAnsi="宋体" w:cs="宋体"/>
          <w:color w:val="FF0000"/>
          <w:szCs w:val="21"/>
          <w:lang w:val="en-US" w:eastAsia="zh-CN"/>
        </w:rPr>
      </w:pPr>
      <w:r>
        <w:rPr>
          <w:rFonts w:hint="eastAsia" w:ascii="宋体" w:hAnsi="宋体" w:cs="宋体"/>
          <w:color w:val="FF0000"/>
          <w:szCs w:val="21"/>
          <w:lang w:val="en-US" w:eastAsia="zh-CN"/>
        </w:rPr>
        <w:drawing>
          <wp:anchor distT="0" distB="0" distL="114300" distR="114300" simplePos="0" relativeHeight="251660288" behindDoc="1" locked="0" layoutInCell="1" allowOverlap="1">
            <wp:simplePos x="0" y="0"/>
            <wp:positionH relativeFrom="column">
              <wp:posOffset>3297555</wp:posOffset>
            </wp:positionH>
            <wp:positionV relativeFrom="paragraph">
              <wp:posOffset>145415</wp:posOffset>
            </wp:positionV>
            <wp:extent cx="2785745" cy="1804035"/>
            <wp:effectExtent l="0" t="0" r="14605" b="5715"/>
            <wp:wrapTight wrapText="bothSides">
              <wp:wrapPolygon>
                <wp:start x="0" y="0"/>
                <wp:lineTo x="0" y="21440"/>
                <wp:lineTo x="21418" y="21440"/>
                <wp:lineTo x="21418" y="0"/>
                <wp:lineTo x="0" y="0"/>
              </wp:wrapPolygon>
            </wp:wrapTight>
            <wp:docPr id="1" name="图片 1" descr="175438011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4380114359"/>
                    <pic:cNvPicPr>
                      <a:picLocks noChangeAspect="1"/>
                    </pic:cNvPicPr>
                  </pic:nvPicPr>
                  <pic:blipFill>
                    <a:blip r:embed="rId8"/>
                    <a:stretch>
                      <a:fillRect/>
                    </a:stretch>
                  </pic:blipFill>
                  <pic:spPr>
                    <a:xfrm>
                      <a:off x="0" y="0"/>
                      <a:ext cx="2785745" cy="1804035"/>
                    </a:xfrm>
                    <a:prstGeom prst="rect">
                      <a:avLst/>
                    </a:prstGeom>
                  </pic:spPr>
                </pic:pic>
              </a:graphicData>
            </a:graphic>
          </wp:anchor>
        </w:drawing>
      </w:r>
      <w:r>
        <w:rPr>
          <w:rFonts w:hint="eastAsia" w:ascii="宋体" w:hAnsi="宋体" w:cs="宋体"/>
          <w:color w:val="FF0000"/>
          <w:szCs w:val="21"/>
          <w:lang w:val="en-US" w:eastAsia="zh-CN"/>
        </w:rPr>
        <w:t>4、技术规格要求：</w:t>
      </w:r>
    </w:p>
    <w:p w14:paraId="0F397B7C">
      <w:pPr>
        <w:numPr>
          <w:ilvl w:val="0"/>
          <w:numId w:val="0"/>
        </w:numPr>
        <w:autoSpaceDE w:val="0"/>
        <w:autoSpaceDN w:val="0"/>
        <w:adjustRightInd w:val="0"/>
        <w:snapToGrid w:val="0"/>
        <w:spacing w:line="240" w:lineRule="auto"/>
        <w:ind w:firstLine="420" w:firstLineChars="200"/>
        <w:rPr>
          <w:rFonts w:hint="eastAsia" w:ascii="宋体" w:hAnsi="宋体" w:cs="宋体"/>
          <w:color w:val="FF0000"/>
          <w:szCs w:val="21"/>
          <w:lang w:val="en-US" w:eastAsia="zh-CN"/>
        </w:rPr>
      </w:pPr>
      <w:r>
        <w:rPr>
          <w:rFonts w:hint="default" w:ascii="宋体" w:hAnsi="宋体" w:cs="宋体"/>
          <w:color w:val="FF0000"/>
          <w:szCs w:val="21"/>
          <w:lang w:val="en-US" w:eastAsia="zh-CN"/>
        </w:rPr>
        <w:drawing>
          <wp:anchor distT="0" distB="0" distL="114300" distR="114300" simplePos="0" relativeHeight="251659264" behindDoc="1" locked="0" layoutInCell="1" allowOverlap="1">
            <wp:simplePos x="0" y="0"/>
            <wp:positionH relativeFrom="column">
              <wp:posOffset>38100</wp:posOffset>
            </wp:positionH>
            <wp:positionV relativeFrom="paragraph">
              <wp:posOffset>142875</wp:posOffset>
            </wp:positionV>
            <wp:extent cx="2924810" cy="1374140"/>
            <wp:effectExtent l="0" t="0" r="8890" b="16510"/>
            <wp:wrapTight wrapText="bothSides">
              <wp:wrapPolygon>
                <wp:start x="0" y="0"/>
                <wp:lineTo x="0" y="21261"/>
                <wp:lineTo x="21525" y="21261"/>
                <wp:lineTo x="21525" y="0"/>
                <wp:lineTo x="0" y="0"/>
              </wp:wrapPolygon>
            </wp:wrapTight>
            <wp:docPr id="2" name="图片 2" descr="175438019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4380192232"/>
                    <pic:cNvPicPr>
                      <a:picLocks noChangeAspect="1"/>
                    </pic:cNvPicPr>
                  </pic:nvPicPr>
                  <pic:blipFill>
                    <a:blip r:embed="rId9"/>
                    <a:stretch>
                      <a:fillRect/>
                    </a:stretch>
                  </pic:blipFill>
                  <pic:spPr>
                    <a:xfrm>
                      <a:off x="0" y="0"/>
                      <a:ext cx="2924810" cy="1374140"/>
                    </a:xfrm>
                    <a:prstGeom prst="rect">
                      <a:avLst/>
                    </a:prstGeom>
                  </pic:spPr>
                </pic:pic>
              </a:graphicData>
            </a:graphic>
          </wp:anchor>
        </w:drawing>
      </w:r>
    </w:p>
    <w:p w14:paraId="08C17393">
      <w:pPr>
        <w:numPr>
          <w:ilvl w:val="0"/>
          <w:numId w:val="0"/>
        </w:numPr>
        <w:autoSpaceDE w:val="0"/>
        <w:autoSpaceDN w:val="0"/>
        <w:adjustRightInd w:val="0"/>
        <w:snapToGrid w:val="0"/>
        <w:spacing w:line="240" w:lineRule="auto"/>
        <w:ind w:left="840" w:leftChars="200" w:hanging="420" w:hangingChars="200"/>
        <w:rPr>
          <w:rFonts w:hint="default" w:ascii="宋体" w:hAnsi="宋体" w:cs="宋体"/>
          <w:color w:val="FF0000"/>
          <w:szCs w:val="21"/>
          <w:lang w:val="en-US" w:eastAsia="zh-CN"/>
        </w:rPr>
      </w:pPr>
      <w:r>
        <w:rPr>
          <w:rFonts w:hint="eastAsia" w:ascii="宋体" w:hAnsi="宋体" w:cs="宋体"/>
          <w:color w:val="FF0000"/>
          <w:szCs w:val="21"/>
          <w:lang w:val="en-US" w:eastAsia="zh-CN"/>
        </w:rPr>
        <w:t xml:space="preserve">    </w:t>
      </w:r>
    </w:p>
    <w:p w14:paraId="0FDB557B">
      <w:pPr>
        <w:numPr>
          <w:ilvl w:val="0"/>
          <w:numId w:val="0"/>
        </w:numPr>
        <w:autoSpaceDE w:val="0"/>
        <w:autoSpaceDN w:val="0"/>
        <w:adjustRightInd w:val="0"/>
        <w:snapToGrid w:val="0"/>
        <w:spacing w:line="240" w:lineRule="auto"/>
        <w:ind w:left="0" w:leftChars="0" w:firstLine="0" w:firstLineChars="0"/>
        <w:jc w:val="both"/>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 xml:space="preserve">               </w:t>
      </w:r>
    </w:p>
    <w:p w14:paraId="4BC4E93C">
      <w:pPr>
        <w:numPr>
          <w:ilvl w:val="0"/>
          <w:numId w:val="0"/>
        </w:numPr>
        <w:autoSpaceDE w:val="0"/>
        <w:autoSpaceDN w:val="0"/>
        <w:adjustRightInd w:val="0"/>
        <w:snapToGrid w:val="0"/>
        <w:spacing w:line="240" w:lineRule="auto"/>
        <w:ind w:left="0" w:leftChars="0" w:firstLine="0" w:firstLineChars="0"/>
        <w:jc w:val="both"/>
        <w:rPr>
          <w:rFonts w:hint="eastAsia" w:ascii="宋体" w:hAnsi="宋体" w:cs="宋体"/>
          <w:i w:val="0"/>
          <w:iCs w:val="0"/>
          <w:color w:val="000000"/>
          <w:kern w:val="0"/>
          <w:sz w:val="21"/>
          <w:szCs w:val="21"/>
          <w:u w:val="none"/>
          <w:lang w:val="en-US" w:eastAsia="zh-CN" w:bidi="ar"/>
        </w:rPr>
      </w:pPr>
    </w:p>
    <w:p w14:paraId="042F2510">
      <w:pPr>
        <w:numPr>
          <w:ilvl w:val="0"/>
          <w:numId w:val="0"/>
        </w:numPr>
        <w:autoSpaceDE w:val="0"/>
        <w:autoSpaceDN w:val="0"/>
        <w:adjustRightInd w:val="0"/>
        <w:snapToGrid w:val="0"/>
        <w:spacing w:line="240" w:lineRule="auto"/>
        <w:ind w:left="0" w:leftChars="0" w:firstLine="0" w:firstLineChars="0"/>
        <w:jc w:val="both"/>
        <w:rPr>
          <w:rFonts w:hint="eastAsia" w:ascii="宋体" w:hAnsi="宋体" w:cs="宋体"/>
          <w:i w:val="0"/>
          <w:iCs w:val="0"/>
          <w:color w:val="000000"/>
          <w:kern w:val="0"/>
          <w:sz w:val="21"/>
          <w:szCs w:val="21"/>
          <w:u w:val="none"/>
          <w:lang w:val="en-US" w:eastAsia="zh-CN" w:bidi="ar"/>
        </w:rPr>
      </w:pPr>
    </w:p>
    <w:p w14:paraId="7D6328BE">
      <w:pPr>
        <w:numPr>
          <w:ilvl w:val="0"/>
          <w:numId w:val="0"/>
        </w:numPr>
        <w:autoSpaceDE w:val="0"/>
        <w:autoSpaceDN w:val="0"/>
        <w:adjustRightInd w:val="0"/>
        <w:snapToGrid w:val="0"/>
        <w:spacing w:line="240" w:lineRule="auto"/>
        <w:ind w:left="0" w:leftChars="0" w:firstLine="0" w:firstLineChars="0"/>
        <w:jc w:val="both"/>
        <w:rPr>
          <w:rFonts w:hint="eastAsia" w:ascii="宋体" w:hAnsi="宋体" w:cs="宋体"/>
          <w:i w:val="0"/>
          <w:iCs w:val="0"/>
          <w:color w:val="000000"/>
          <w:kern w:val="0"/>
          <w:sz w:val="21"/>
          <w:szCs w:val="21"/>
          <w:u w:val="none"/>
          <w:lang w:val="en-US" w:eastAsia="zh-CN" w:bidi="ar"/>
        </w:rPr>
      </w:pPr>
    </w:p>
    <w:p w14:paraId="2BCB60C3">
      <w:pPr>
        <w:numPr>
          <w:ilvl w:val="0"/>
          <w:numId w:val="0"/>
        </w:numPr>
        <w:autoSpaceDE w:val="0"/>
        <w:autoSpaceDN w:val="0"/>
        <w:adjustRightInd w:val="0"/>
        <w:snapToGrid w:val="0"/>
        <w:spacing w:line="240" w:lineRule="auto"/>
        <w:ind w:left="0" w:leftChars="0" w:firstLine="0" w:firstLineChars="0"/>
        <w:jc w:val="both"/>
        <w:rPr>
          <w:rFonts w:hint="eastAsia" w:ascii="宋体" w:hAnsi="宋体" w:cs="宋体"/>
          <w:i w:val="0"/>
          <w:iCs w:val="0"/>
          <w:color w:val="000000"/>
          <w:kern w:val="0"/>
          <w:sz w:val="21"/>
          <w:szCs w:val="21"/>
          <w:u w:val="none"/>
          <w:lang w:val="en-US" w:eastAsia="zh-CN" w:bidi="ar"/>
        </w:rPr>
      </w:pPr>
    </w:p>
    <w:p w14:paraId="2A061D97">
      <w:pPr>
        <w:numPr>
          <w:ilvl w:val="0"/>
          <w:numId w:val="0"/>
        </w:numPr>
        <w:autoSpaceDE w:val="0"/>
        <w:autoSpaceDN w:val="0"/>
        <w:adjustRightInd w:val="0"/>
        <w:snapToGrid w:val="0"/>
        <w:spacing w:line="240" w:lineRule="auto"/>
        <w:ind w:left="0" w:leftChars="0" w:firstLine="0" w:firstLineChars="0"/>
        <w:jc w:val="both"/>
        <w:rPr>
          <w:rFonts w:hint="eastAsia" w:ascii="宋体" w:hAnsi="宋体" w:cs="宋体"/>
          <w:i w:val="0"/>
          <w:iCs w:val="0"/>
          <w:color w:val="000000"/>
          <w:kern w:val="0"/>
          <w:sz w:val="21"/>
          <w:szCs w:val="21"/>
          <w:u w:val="none"/>
          <w:lang w:val="en-US" w:eastAsia="zh-CN" w:bidi="ar"/>
        </w:rPr>
      </w:pPr>
    </w:p>
    <w:p w14:paraId="636CACBF">
      <w:pPr>
        <w:numPr>
          <w:ilvl w:val="0"/>
          <w:numId w:val="0"/>
        </w:numPr>
        <w:autoSpaceDE w:val="0"/>
        <w:autoSpaceDN w:val="0"/>
        <w:adjustRightInd w:val="0"/>
        <w:snapToGrid w:val="0"/>
        <w:spacing w:line="240" w:lineRule="auto"/>
        <w:ind w:left="0" w:leftChars="0" w:firstLine="0" w:firstLineChars="0"/>
        <w:jc w:val="both"/>
        <w:rPr>
          <w:rFonts w:hint="eastAsia" w:ascii="宋体" w:hAnsi="宋体" w:cs="宋体"/>
          <w:i w:val="0"/>
          <w:iCs w:val="0"/>
          <w:color w:val="000000"/>
          <w:kern w:val="0"/>
          <w:sz w:val="21"/>
          <w:szCs w:val="21"/>
          <w:u w:val="none"/>
          <w:lang w:val="en-US" w:eastAsia="zh-CN" w:bidi="ar"/>
        </w:rPr>
      </w:pPr>
    </w:p>
    <w:p w14:paraId="0ECCBB22">
      <w:pPr>
        <w:numPr>
          <w:ilvl w:val="0"/>
          <w:numId w:val="0"/>
        </w:numPr>
        <w:autoSpaceDE w:val="0"/>
        <w:autoSpaceDN w:val="0"/>
        <w:adjustRightInd w:val="0"/>
        <w:snapToGrid w:val="0"/>
        <w:spacing w:line="240" w:lineRule="auto"/>
        <w:ind w:left="0" w:leftChars="0" w:firstLine="0" w:firstLineChars="0"/>
        <w:jc w:val="both"/>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 xml:space="preserve">   </w:t>
      </w:r>
    </w:p>
    <w:p w14:paraId="247EE362">
      <w:pPr>
        <w:numPr>
          <w:ilvl w:val="0"/>
          <w:numId w:val="0"/>
        </w:numPr>
        <w:autoSpaceDE w:val="0"/>
        <w:autoSpaceDN w:val="0"/>
        <w:adjustRightInd w:val="0"/>
        <w:snapToGrid w:val="0"/>
        <w:spacing w:line="240" w:lineRule="auto"/>
        <w:ind w:left="0" w:leftChars="0" w:firstLine="0" w:firstLineChars="0"/>
        <w:jc w:val="both"/>
        <w:rPr>
          <w:rFonts w:hint="eastAsia" w:ascii="宋体" w:hAnsi="宋体"/>
          <w:color w:val="FF0000"/>
          <w:szCs w:val="21"/>
          <w:lang w:val="en-US" w:eastAsia="zh-CN"/>
        </w:rPr>
      </w:pPr>
      <w:r>
        <w:rPr>
          <w:rFonts w:hint="eastAsia" w:ascii="宋体" w:hAnsi="宋体" w:cs="宋体"/>
          <w:color w:val="FF0000"/>
          <w:szCs w:val="21"/>
          <w:lang w:val="en-US" w:eastAsia="zh-CN"/>
        </w:rPr>
        <w:t xml:space="preserve">           </w:t>
      </w:r>
      <w:r>
        <w:rPr>
          <w:rFonts w:hint="eastAsia" w:ascii="宋体" w:hAnsi="宋体" w:cs="宋体"/>
          <w:color w:val="auto"/>
          <w:szCs w:val="21"/>
          <w:lang w:val="en-US" w:eastAsia="zh-CN"/>
        </w:rPr>
        <w:t xml:space="preserve">     图1</w:t>
      </w:r>
      <w:r>
        <w:rPr>
          <w:rFonts w:hint="eastAsia" w:ascii="宋体" w:hAnsi="宋体" w:cs="宋体"/>
          <w:i w:val="0"/>
          <w:iCs w:val="0"/>
          <w:color w:val="auto"/>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图2 </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BF5298">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5953615E">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77150B3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2CC5AE12">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eastAsia="zh-CN"/>
        </w:rPr>
        <w:t>。</w:t>
      </w:r>
    </w:p>
    <w:p w14:paraId="55A40178">
      <w:pPr>
        <w:pStyle w:val="19"/>
        <w:spacing w:before="0" w:beforeAutospacing="0" w:after="0" w:afterAutospacing="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 xml:space="preserve"> 5、投标单位须提供1份近3年石材材料供货业绩（合同金额70万元及以上），提供合同和发票复印件加盖公章，评标委员会会根据投标方提供的发票号码，在国家税务总局全国增值税发票查询平台进行核实，如发现一次虚假将作为废标处理”。</w:t>
      </w:r>
    </w:p>
    <w:p w14:paraId="40CD30AA">
      <w:pPr>
        <w:autoSpaceDE w:val="0"/>
        <w:autoSpaceDN w:val="0"/>
        <w:adjustRightInd w:val="0"/>
        <w:snapToGrid w:val="0"/>
        <w:spacing w:beforeAutospacing="0"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6、投标单位须提供质量承诺书。</w:t>
      </w:r>
    </w:p>
    <w:p w14:paraId="11DC297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投标单位须</w:t>
      </w:r>
      <w:r>
        <w:rPr>
          <w:rFonts w:hint="eastAsia" w:ascii="宋体" w:hAnsi="宋体"/>
          <w:szCs w:val="21"/>
          <w:lang w:val="en-US" w:eastAsia="zh-CN"/>
        </w:rPr>
        <w:t>提供一般纳税人证明。</w:t>
      </w:r>
    </w:p>
    <w:p w14:paraId="64C2FC4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8</w:t>
      </w:r>
      <w:r>
        <w:rPr>
          <w:rFonts w:hint="eastAsia" w:ascii="宋体" w:hAnsi="宋体"/>
          <w:szCs w:val="21"/>
        </w:rPr>
        <w:t>、包装要求：</w:t>
      </w:r>
    </w:p>
    <w:p w14:paraId="7FECAD8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w:t>
      </w:r>
      <w:r>
        <w:rPr>
          <w:rFonts w:hint="eastAsia" w:ascii="宋体" w:hAnsi="宋体"/>
          <w:color w:val="FF0000"/>
          <w:szCs w:val="21"/>
          <w:lang w:eastAsia="zh-CN"/>
        </w:rPr>
        <w:t>、</w:t>
      </w:r>
      <w:r>
        <w:rPr>
          <w:rFonts w:hint="eastAsia" w:ascii="宋体" w:hAnsi="宋体"/>
          <w:color w:val="FF0000"/>
          <w:szCs w:val="21"/>
          <w:lang w:val="en-US" w:eastAsia="zh-CN"/>
        </w:rPr>
        <w:t>卸货费用</w:t>
      </w:r>
      <w:r>
        <w:rPr>
          <w:rFonts w:hint="eastAsia" w:ascii="宋体" w:hAnsi="宋体"/>
          <w:color w:val="FF0000"/>
          <w:szCs w:val="21"/>
        </w:rPr>
        <w:t>）、供货时间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货到工地经验收检测合格后分批次付至货款的50%（不超过合同价的50%），工程竣工验收合格后付至实际供货款70%（不超过合同价的70%），工程审计结束后付至实际供货款的97%，二年质保期满后，付清尾款（无息）。</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311FD649">
      <w:pPr>
        <w:pStyle w:val="20"/>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19"/>
        <w:rPr>
          <w:rFonts w:hint="eastAsia"/>
          <w:lang w:eastAsia="zh-CN"/>
        </w:rPr>
      </w:pPr>
    </w:p>
    <w:p w14:paraId="22FFDF3C">
      <w:pPr>
        <w:pStyle w:val="20"/>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19"/>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19"/>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19"/>
        <w:rPr>
          <w:rFonts w:hint="eastAsia"/>
        </w:rPr>
      </w:pPr>
    </w:p>
    <w:p w14:paraId="4C59DDD4">
      <w:pPr>
        <w:pStyle w:val="20"/>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6"/>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6"/>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4"/>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4"/>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4"/>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货到工地经验收检测合格后分批次付至货款的50%（不超过合同价的50%），工程竣工验收合格后付至实际供货款70%（不超过合同价的70%），工程审计结束后付至实际供货款的97%，二年质保期满后，付清尾款（无息）。</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23EC945">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4、乙方须提供甲方所需的热熔设备。</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3611B52B">
      <w:pPr>
        <w:pStyle w:val="4"/>
        <w:rPr>
          <w:color w:val="000000" w:themeColor="text1"/>
          <w14:textFill>
            <w14:solidFill>
              <w14:schemeClr w14:val="tx1"/>
            </w14:solidFill>
          </w14:textFill>
        </w:rPr>
      </w:pPr>
    </w:p>
    <w:p w14:paraId="6CD48F6C">
      <w:pPr>
        <w:pStyle w:val="4"/>
        <w:rPr>
          <w:color w:val="000000" w:themeColor="text1"/>
          <w14:textFill>
            <w14:solidFill>
              <w14:schemeClr w14:val="tx1"/>
            </w14:solidFill>
          </w14:textFill>
        </w:rPr>
      </w:pPr>
    </w:p>
    <w:p w14:paraId="1CF70972">
      <w:pPr>
        <w:pStyle w:val="4"/>
        <w:rPr>
          <w:color w:val="000000" w:themeColor="text1"/>
          <w14:textFill>
            <w14:solidFill>
              <w14:schemeClr w14:val="tx1"/>
            </w14:solidFill>
          </w14:textFill>
        </w:rPr>
      </w:pPr>
    </w:p>
    <w:p w14:paraId="1ADFE595">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3"/>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4C5EA02C">
      <w:pPr>
        <w:pStyle w:val="4"/>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98966C5-491B-41F6-B3AD-A80A5CEC001C}"/>
  </w:font>
  <w:font w:name="黑体">
    <w:panose1 w:val="02010609060101010101"/>
    <w:charset w:val="86"/>
    <w:family w:val="auto"/>
    <w:pitch w:val="default"/>
    <w:sig w:usb0="800002BF" w:usb1="38CF7CFA" w:usb2="00000016" w:usb3="00000000" w:csb0="00040001" w:csb1="00000000"/>
    <w:embedRegular r:id="rId2" w:fontKey="{E28FC4EE-B9A1-48A1-AEBF-D13868A884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AA03509B-4739-4BA5-9F10-DB1BCFDB6949}"/>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4275434F-7B62-4B88-9E42-C4612FE40FF6}"/>
  </w:font>
  <w:font w:name="楷体_GB2312">
    <w:panose1 w:val="02010609030101010101"/>
    <w:charset w:val="86"/>
    <w:family w:val="modern"/>
    <w:pitch w:val="default"/>
    <w:sig w:usb0="00000001" w:usb1="080E0000" w:usb2="00000000" w:usb3="00000000" w:csb0="00040000" w:csb1="00000000"/>
    <w:embedRegular r:id="rId5" w:fontKey="{7DF3C60D-BD23-4095-AAFA-23F9FDED48F5}"/>
  </w:font>
  <w:font w:name="方正小标宋_GBK">
    <w:panose1 w:val="03000509000000000000"/>
    <w:charset w:val="86"/>
    <w:family w:val="auto"/>
    <w:pitch w:val="default"/>
    <w:sig w:usb0="00000001" w:usb1="080E0000" w:usb2="00000000" w:usb3="00000000" w:csb0="00040000" w:csb1="00000000"/>
    <w:embedRegular r:id="rId6" w:fontKey="{38A8A6B8-230E-4ECB-87B4-1B7D96D7590F}"/>
  </w:font>
  <w:font w:name="方正仿宋_GBK">
    <w:panose1 w:val="03000509000000000000"/>
    <w:charset w:val="86"/>
    <w:family w:val="auto"/>
    <w:pitch w:val="default"/>
    <w:sig w:usb0="00000001" w:usb1="080E0000" w:usb2="00000000" w:usb3="00000000" w:csb0="00040000" w:csb1="00000000"/>
    <w:embedRegular r:id="rId7" w:fontKey="{11C7AA6F-0F1F-45A1-8A37-CA108FE424BB}"/>
  </w:font>
  <w:font w:name="仿宋">
    <w:panose1 w:val="02010609060101010101"/>
    <w:charset w:val="86"/>
    <w:family w:val="auto"/>
    <w:pitch w:val="default"/>
    <w:sig w:usb0="800002BF" w:usb1="38CF7CFA" w:usb2="00000016" w:usb3="00000000" w:csb0="00040001" w:csb1="00000000"/>
    <w:embedRegular r:id="rId8" w:fontKey="{7CA113AB-9C64-4C0F-8FC9-3E7BC4A395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4F33787"/>
    <w:rsid w:val="05235BBF"/>
    <w:rsid w:val="05616943"/>
    <w:rsid w:val="057A6F83"/>
    <w:rsid w:val="06574153"/>
    <w:rsid w:val="07B132EE"/>
    <w:rsid w:val="08971538"/>
    <w:rsid w:val="09A23D87"/>
    <w:rsid w:val="0A045C92"/>
    <w:rsid w:val="0C006D9B"/>
    <w:rsid w:val="0C391C75"/>
    <w:rsid w:val="0C460641"/>
    <w:rsid w:val="0D046532"/>
    <w:rsid w:val="0D9773A6"/>
    <w:rsid w:val="0E5A3EAC"/>
    <w:rsid w:val="105E328D"/>
    <w:rsid w:val="106B52EF"/>
    <w:rsid w:val="10E46038"/>
    <w:rsid w:val="115F642C"/>
    <w:rsid w:val="118916FB"/>
    <w:rsid w:val="119357E0"/>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0D6EF9"/>
    <w:rsid w:val="1B32070E"/>
    <w:rsid w:val="1B441F92"/>
    <w:rsid w:val="1B863EE4"/>
    <w:rsid w:val="1BC96078"/>
    <w:rsid w:val="1D524DB7"/>
    <w:rsid w:val="1E4B2C37"/>
    <w:rsid w:val="1E6225BB"/>
    <w:rsid w:val="1EA31154"/>
    <w:rsid w:val="1EC21A64"/>
    <w:rsid w:val="1EC92A20"/>
    <w:rsid w:val="1F0E4671"/>
    <w:rsid w:val="206C021E"/>
    <w:rsid w:val="20A951E7"/>
    <w:rsid w:val="20CA13E8"/>
    <w:rsid w:val="223A588B"/>
    <w:rsid w:val="226D193C"/>
    <w:rsid w:val="227D128F"/>
    <w:rsid w:val="22E23D79"/>
    <w:rsid w:val="23A016EC"/>
    <w:rsid w:val="23D26B89"/>
    <w:rsid w:val="260C121F"/>
    <w:rsid w:val="26BA2DC8"/>
    <w:rsid w:val="26E30BFE"/>
    <w:rsid w:val="286931F8"/>
    <w:rsid w:val="28994243"/>
    <w:rsid w:val="28D14083"/>
    <w:rsid w:val="28E66D39"/>
    <w:rsid w:val="2B4431B2"/>
    <w:rsid w:val="2CA37518"/>
    <w:rsid w:val="2FFE5B53"/>
    <w:rsid w:val="316D029A"/>
    <w:rsid w:val="31A368A5"/>
    <w:rsid w:val="31E452E9"/>
    <w:rsid w:val="31F0483A"/>
    <w:rsid w:val="3220530C"/>
    <w:rsid w:val="32CA33D5"/>
    <w:rsid w:val="32E43D91"/>
    <w:rsid w:val="33976056"/>
    <w:rsid w:val="34804ED0"/>
    <w:rsid w:val="34EC7159"/>
    <w:rsid w:val="377C1237"/>
    <w:rsid w:val="37AF7C77"/>
    <w:rsid w:val="3B223EA3"/>
    <w:rsid w:val="3B257EFE"/>
    <w:rsid w:val="3C646ABC"/>
    <w:rsid w:val="3C691FB0"/>
    <w:rsid w:val="3CA8662A"/>
    <w:rsid w:val="3D1E68EC"/>
    <w:rsid w:val="3F8E7211"/>
    <w:rsid w:val="3FF839D9"/>
    <w:rsid w:val="40321424"/>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361833"/>
    <w:rsid w:val="53A92F5C"/>
    <w:rsid w:val="563034C0"/>
    <w:rsid w:val="56A8222D"/>
    <w:rsid w:val="56D62531"/>
    <w:rsid w:val="571E1031"/>
    <w:rsid w:val="5731653C"/>
    <w:rsid w:val="57AD28EF"/>
    <w:rsid w:val="58A65CBC"/>
    <w:rsid w:val="58D6764A"/>
    <w:rsid w:val="59B57910"/>
    <w:rsid w:val="59D52356"/>
    <w:rsid w:val="5D582E82"/>
    <w:rsid w:val="5E445D2E"/>
    <w:rsid w:val="5EBD524E"/>
    <w:rsid w:val="5F795ED8"/>
    <w:rsid w:val="6279082B"/>
    <w:rsid w:val="62C31218"/>
    <w:rsid w:val="6370314E"/>
    <w:rsid w:val="64747F00"/>
    <w:rsid w:val="64FD6B36"/>
    <w:rsid w:val="65EB0E69"/>
    <w:rsid w:val="66746855"/>
    <w:rsid w:val="667F60B7"/>
    <w:rsid w:val="66A870A3"/>
    <w:rsid w:val="66F35A29"/>
    <w:rsid w:val="678F10BD"/>
    <w:rsid w:val="68537464"/>
    <w:rsid w:val="68C57F09"/>
    <w:rsid w:val="6BBB4685"/>
    <w:rsid w:val="6CF272CA"/>
    <w:rsid w:val="6D0131CD"/>
    <w:rsid w:val="6D016897"/>
    <w:rsid w:val="6D116F45"/>
    <w:rsid w:val="6EC33740"/>
    <w:rsid w:val="6EE658EC"/>
    <w:rsid w:val="6F6E06C9"/>
    <w:rsid w:val="6FA2234A"/>
    <w:rsid w:val="6FC00FB9"/>
    <w:rsid w:val="6FD30157"/>
    <w:rsid w:val="711D243B"/>
    <w:rsid w:val="715916C6"/>
    <w:rsid w:val="726C5429"/>
    <w:rsid w:val="749018A2"/>
    <w:rsid w:val="74E70861"/>
    <w:rsid w:val="75F0011F"/>
    <w:rsid w:val="7686731E"/>
    <w:rsid w:val="778C2829"/>
    <w:rsid w:val="77D7083D"/>
    <w:rsid w:val="77E9764D"/>
    <w:rsid w:val="78135BBF"/>
    <w:rsid w:val="78387804"/>
    <w:rsid w:val="7A546ECE"/>
    <w:rsid w:val="7AA15E8B"/>
    <w:rsid w:val="7AB53611"/>
    <w:rsid w:val="7B646DB9"/>
    <w:rsid w:val="7B8F57A7"/>
    <w:rsid w:val="7CCA4BCF"/>
    <w:rsid w:val="7D2A660C"/>
    <w:rsid w:val="7D8E26F7"/>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qFormat/>
    <w:uiPriority w:val="0"/>
    <w:rPr>
      <w:kern w:val="2"/>
      <w:sz w:val="18"/>
      <w:szCs w:val="18"/>
    </w:rPr>
  </w:style>
  <w:style w:type="character" w:customStyle="1" w:styleId="22">
    <w:name w:val="页脚 Char"/>
    <w:link w:val="10"/>
    <w:qFormat/>
    <w:uiPriority w:val="0"/>
    <w:rPr>
      <w:kern w:val="2"/>
      <w:sz w:val="18"/>
      <w:szCs w:val="18"/>
    </w:rPr>
  </w:style>
  <w:style w:type="character" w:customStyle="1" w:styleId="23">
    <w:name w:val="正文文本缩进 Char"/>
    <w:link w:val="5"/>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 w:type="character" w:customStyle="1" w:styleId="30">
    <w:name w:val="font11"/>
    <w:basedOn w:val="18"/>
    <w:qFormat/>
    <w:uiPriority w:val="0"/>
    <w:rPr>
      <w:rFonts w:hint="eastAsia" w:ascii="宋体" w:hAnsi="宋体" w:eastAsia="宋体" w:cs="宋体"/>
      <w:color w:val="000000"/>
      <w:sz w:val="21"/>
      <w:szCs w:val="21"/>
      <w:u w:val="none"/>
    </w:rPr>
  </w:style>
  <w:style w:type="character" w:customStyle="1" w:styleId="31">
    <w:name w:val="font21"/>
    <w:basedOn w:val="1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6658</Words>
  <Characters>6985</Characters>
  <Lines>30</Lines>
  <Paragraphs>8</Paragraphs>
  <TotalTime>7</TotalTime>
  <ScaleCrop>false</ScaleCrop>
  <LinksUpToDate>false</LinksUpToDate>
  <CharactersWithSpaces>7736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顾涛</cp:lastModifiedBy>
  <cp:lastPrinted>2025-08-12T07:33:49Z</cp:lastPrinted>
  <dcterms:modified xsi:type="dcterms:W3CDTF">2025-08-12T07:34:42Z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BC45F49CE6374AD093D543CCF61E5777_13</vt:lpwstr>
  </property>
  <property fmtid="{D5CDD505-2E9C-101B-9397-08002B2CF9AE}" pid="4" name="KSOTemplateDocerSaveRecord">
    <vt:lpwstr>eyJoZGlkIjoiZTZmYTUzMDI2OTQ2ZDhhYTk4NGE3MGUyNWZiOTM3NzIiLCJ1c2VySWQiOiIxNjQ1Mzc3MjM2In0=</vt:lpwstr>
  </property>
</Properties>
</file>